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3AAD" w14:textId="1B3384E3" w:rsidR="00D81869" w:rsidRPr="00203847" w:rsidRDefault="00D81869" w:rsidP="00D81869">
      <w:pPr>
        <w:pStyle w:val="TtuloArtCOMNI"/>
        <w:widowControl/>
        <w:spacing w:beforeLines="50" w:before="120" w:after="0" w:line="120" w:lineRule="atLeast"/>
        <w:rPr>
          <w:lang w:val="en-GB"/>
        </w:rPr>
      </w:pPr>
      <w:r w:rsidRPr="00203847">
        <w:rPr>
          <w:noProof/>
          <w:lang w:val="en-US" w:eastAsia="ko-KR"/>
        </w:rPr>
        <w:t xml:space="preserve">Analysis of Shear-thinning </w:t>
      </w:r>
      <w:r w:rsidR="00F32510">
        <w:rPr>
          <w:noProof/>
          <w:lang w:val="en-US" w:eastAsia="ko-KR"/>
        </w:rPr>
        <w:t>Planar F</w:t>
      </w:r>
      <w:r w:rsidRPr="00203847">
        <w:rPr>
          <w:noProof/>
          <w:lang w:val="en-US" w:eastAsia="ko-KR"/>
        </w:rPr>
        <w:t>lows</w:t>
      </w:r>
    </w:p>
    <w:p w14:paraId="44113B4A" w14:textId="77777777" w:rsidR="009F5759" w:rsidRPr="00EB02CC" w:rsidRDefault="009F5759" w:rsidP="009F5759">
      <w:pPr>
        <w:pStyle w:val="TtuloArtCOMNI"/>
        <w:widowControl/>
        <w:spacing w:after="0" w:line="120" w:lineRule="atLeast"/>
        <w:rPr>
          <w:lang w:val="en-GB"/>
        </w:rPr>
      </w:pPr>
    </w:p>
    <w:p w14:paraId="641C6D95" w14:textId="473C48EF" w:rsidR="00577D1C" w:rsidRPr="00EB02CC" w:rsidRDefault="009B188B" w:rsidP="00DD5847">
      <w:pPr>
        <w:pStyle w:val="1"/>
        <w:widowControl/>
        <w:spacing w:line="120" w:lineRule="atLeast"/>
        <w:rPr>
          <w:spacing w:val="0"/>
          <w:sz w:val="24"/>
        </w:rPr>
      </w:pPr>
      <w:proofErr w:type="spellStart"/>
      <w:r>
        <w:rPr>
          <w:spacing w:val="0"/>
          <w:sz w:val="24"/>
        </w:rPr>
        <w:t>Nayeon</w:t>
      </w:r>
      <w:proofErr w:type="spellEnd"/>
      <w:r>
        <w:rPr>
          <w:spacing w:val="0"/>
          <w:sz w:val="24"/>
        </w:rPr>
        <w:t xml:space="preserve"> Park</w:t>
      </w:r>
      <w:r w:rsidRPr="00EB02CC">
        <w:rPr>
          <w:sz w:val="24"/>
          <w:vertAlign w:val="superscript"/>
        </w:rPr>
        <w:t xml:space="preserve"> </w:t>
      </w:r>
      <w:r w:rsidR="00577D1C" w:rsidRPr="00EB02CC">
        <w:rPr>
          <w:spacing w:val="0"/>
          <w:sz w:val="24"/>
        </w:rPr>
        <w:t xml:space="preserve">¹, </w:t>
      </w:r>
      <w:proofErr w:type="spellStart"/>
      <w:r>
        <w:rPr>
          <w:spacing w:val="0"/>
          <w:sz w:val="24"/>
        </w:rPr>
        <w:t>Hyungyeol</w:t>
      </w:r>
      <w:proofErr w:type="spellEnd"/>
      <w:r>
        <w:rPr>
          <w:spacing w:val="0"/>
          <w:sz w:val="24"/>
        </w:rPr>
        <w:t xml:space="preserve"> Kwak</w:t>
      </w:r>
      <w:r w:rsidR="00635E39">
        <w:rPr>
          <w:sz w:val="24"/>
          <w:vertAlign w:val="superscript"/>
        </w:rPr>
        <w:t>1</w:t>
      </w:r>
      <w:r w:rsidR="00577D1C" w:rsidRPr="00EB02CC">
        <w:rPr>
          <w:spacing w:val="0"/>
          <w:sz w:val="24"/>
        </w:rPr>
        <w:t xml:space="preserve"> and </w:t>
      </w:r>
      <w:proofErr w:type="spellStart"/>
      <w:r w:rsidR="00FB0C73">
        <w:rPr>
          <w:spacing w:val="0"/>
          <w:sz w:val="24"/>
        </w:rPr>
        <w:t>Jaewook</w:t>
      </w:r>
      <w:proofErr w:type="spellEnd"/>
      <w:r w:rsidR="00FB0C73">
        <w:rPr>
          <w:spacing w:val="0"/>
          <w:sz w:val="24"/>
        </w:rPr>
        <w:t xml:space="preserve"> Nam</w:t>
      </w:r>
      <w:r w:rsidR="00635E39" w:rsidRPr="00635E39">
        <w:rPr>
          <w:spacing w:val="0"/>
          <w:sz w:val="24"/>
          <w:vertAlign w:val="superscript"/>
        </w:rPr>
        <w:t>1</w:t>
      </w:r>
      <w:r w:rsidR="00635E39">
        <w:rPr>
          <w:spacing w:val="0"/>
          <w:sz w:val="24"/>
          <w:vertAlign w:val="superscript"/>
        </w:rPr>
        <w:t>*</w:t>
      </w:r>
    </w:p>
    <w:p w14:paraId="194CA663" w14:textId="77777777" w:rsidR="00635E39" w:rsidRDefault="00DD5847" w:rsidP="00635E39">
      <w:pPr>
        <w:jc w:val="center"/>
        <w:rPr>
          <w:sz w:val="22"/>
          <w:szCs w:val="22"/>
          <w:lang w:val="en-GB"/>
        </w:rPr>
      </w:pPr>
      <w:r w:rsidRPr="00EB02CC">
        <w:rPr>
          <w:sz w:val="22"/>
          <w:szCs w:val="22"/>
          <w:vertAlign w:val="superscript"/>
          <w:lang w:val="en-GB"/>
        </w:rPr>
        <w:t>1</w:t>
      </w:r>
      <w:r w:rsidR="00EB02CC">
        <w:rPr>
          <w:sz w:val="22"/>
          <w:szCs w:val="22"/>
          <w:lang w:val="en-GB"/>
        </w:rPr>
        <w:t xml:space="preserve"> </w:t>
      </w:r>
      <w:r w:rsidR="00635E39" w:rsidRPr="003816BC">
        <w:rPr>
          <w:sz w:val="22"/>
          <w:szCs w:val="22"/>
          <w:lang w:val="en-GB"/>
        </w:rPr>
        <w:t>School of Chemical and Biological Engineering, Seoul National University, Seoul, 08826, Korea</w:t>
      </w:r>
    </w:p>
    <w:p w14:paraId="2C97F317" w14:textId="77777777" w:rsidR="00635E39" w:rsidRPr="00C377C7" w:rsidRDefault="00635E39" w:rsidP="00635E39">
      <w:pPr>
        <w:jc w:val="center"/>
        <w:rPr>
          <w:sz w:val="22"/>
          <w:szCs w:val="22"/>
          <w:lang w:val="en-GB"/>
        </w:rPr>
      </w:pPr>
      <w:r>
        <w:rPr>
          <w:sz w:val="22"/>
          <w:szCs w:val="22"/>
          <w:lang w:val="en-GB"/>
        </w:rPr>
        <w:t>(*jaewooknam@snu.ac.kr)</w:t>
      </w:r>
    </w:p>
    <w:p w14:paraId="3BDD86FF" w14:textId="77777777" w:rsidR="008A6306" w:rsidRPr="00EB02CC" w:rsidRDefault="008A6306" w:rsidP="006F4293">
      <w:pPr>
        <w:pStyle w:val="TtuloRefCOMNI"/>
        <w:spacing w:before="0" w:after="0"/>
        <w:outlineLvl w:val="0"/>
        <w:rPr>
          <w:caps w:val="0"/>
          <w:lang w:val="en-GB"/>
        </w:rPr>
      </w:pPr>
    </w:p>
    <w:p w14:paraId="3C90C8F7" w14:textId="44579E35" w:rsidR="00577D1C" w:rsidRPr="00D81869" w:rsidRDefault="00577D1C" w:rsidP="006F4293">
      <w:pPr>
        <w:pStyle w:val="TtuloRefCOMNI"/>
        <w:spacing w:before="0" w:after="0"/>
        <w:outlineLvl w:val="0"/>
        <w:rPr>
          <w:b w:val="0"/>
          <w:bCs/>
          <w:i/>
          <w:iCs/>
          <w:caps w:val="0"/>
          <w:lang w:val="en-US" w:eastAsia="ko-KR"/>
        </w:rPr>
      </w:pPr>
      <w:r w:rsidRPr="00EB02CC">
        <w:rPr>
          <w:caps w:val="0"/>
          <w:lang w:val="en-GB"/>
        </w:rPr>
        <w:t xml:space="preserve">Key Words: </w:t>
      </w:r>
      <w:r w:rsidR="00F71EA8">
        <w:rPr>
          <w:b w:val="0"/>
          <w:bCs/>
          <w:i/>
          <w:iCs/>
          <w:caps w:val="0"/>
          <w:lang w:val="en-GB"/>
        </w:rPr>
        <w:t xml:space="preserve">Pulsatile flows, </w:t>
      </w:r>
      <w:proofErr w:type="spellStart"/>
      <w:r w:rsidR="00F71EA8">
        <w:rPr>
          <w:b w:val="0"/>
          <w:bCs/>
          <w:i/>
          <w:iCs/>
          <w:caps w:val="0"/>
          <w:lang w:val="en-GB"/>
        </w:rPr>
        <w:t>Microvortices</w:t>
      </w:r>
      <w:proofErr w:type="spellEnd"/>
      <w:r w:rsidR="00F71EA8">
        <w:rPr>
          <w:b w:val="0"/>
          <w:bCs/>
          <w:i/>
          <w:iCs/>
          <w:caps w:val="0"/>
          <w:lang w:val="en-GB"/>
        </w:rPr>
        <w:t xml:space="preserve">, </w:t>
      </w:r>
      <w:r w:rsidR="00D41D66">
        <w:rPr>
          <w:b w:val="0"/>
          <w:bCs/>
          <w:i/>
          <w:iCs/>
          <w:caps w:val="0"/>
          <w:lang w:val="en-GB"/>
        </w:rPr>
        <w:t xml:space="preserve">Shear-thinning fluids, </w:t>
      </w:r>
      <w:r w:rsidR="00F71EA8">
        <w:rPr>
          <w:b w:val="0"/>
          <w:bCs/>
          <w:i/>
          <w:iCs/>
          <w:caps w:val="0"/>
          <w:lang w:val="en-GB"/>
        </w:rPr>
        <w:t>Industrial applications</w:t>
      </w:r>
    </w:p>
    <w:p w14:paraId="197A8DE4" w14:textId="77777777" w:rsidR="006F4293" w:rsidRPr="00EB02CC" w:rsidRDefault="006F4293" w:rsidP="006F4293">
      <w:pPr>
        <w:pStyle w:val="TtuloRefCOMNI"/>
        <w:spacing w:before="0" w:after="0"/>
        <w:outlineLvl w:val="0"/>
        <w:rPr>
          <w:b w:val="0"/>
          <w:bCs/>
          <w:i/>
          <w:iCs/>
          <w:caps w:val="0"/>
          <w:lang w:val="en-GB"/>
        </w:rPr>
      </w:pPr>
    </w:p>
    <w:p w14:paraId="0DA2155C" w14:textId="77777777" w:rsidR="006F4293" w:rsidRPr="00EB02CC" w:rsidRDefault="006F4293" w:rsidP="00DD5847">
      <w:pPr>
        <w:pStyle w:val="TtuloRefCOMNI"/>
        <w:spacing w:before="0" w:after="0"/>
        <w:outlineLvl w:val="0"/>
        <w:rPr>
          <w:rFonts w:ascii="Arial" w:hAnsi="Arial" w:cs="Arial"/>
          <w:spacing w:val="4"/>
          <w:sz w:val="22"/>
          <w:lang w:val="en-GB"/>
        </w:rPr>
      </w:pPr>
    </w:p>
    <w:p w14:paraId="766BB7F2" w14:textId="77777777" w:rsidR="00FC35FF" w:rsidRPr="00FC35FF" w:rsidRDefault="00FC35FF" w:rsidP="00FC35FF">
      <w:pPr>
        <w:pStyle w:val="a9"/>
        <w:spacing w:line="240" w:lineRule="atLeast"/>
        <w:rPr>
          <w:szCs w:val="22"/>
          <w:lang w:val="en-GB"/>
        </w:rPr>
      </w:pPr>
      <w:r w:rsidRPr="00FC35FF">
        <w:rPr>
          <w:szCs w:val="22"/>
          <w:lang w:val="en-GB"/>
        </w:rPr>
        <w:t xml:space="preserve">In industry, it is common to handle complex fluids with shear-rate-dependent viscosity. Such non-Newtonian </w:t>
      </w:r>
      <w:proofErr w:type="spellStart"/>
      <w:r w:rsidRPr="00FC35FF">
        <w:rPr>
          <w:szCs w:val="22"/>
          <w:lang w:val="en-GB"/>
        </w:rPr>
        <w:t>behavior</w:t>
      </w:r>
      <w:proofErr w:type="spellEnd"/>
      <w:r w:rsidRPr="00FC35FF">
        <w:rPr>
          <w:szCs w:val="22"/>
          <w:lang w:val="en-GB"/>
        </w:rPr>
        <w:t xml:space="preserve"> may bring difficulty in controlling various types of flows that can be observed in many industrial processes. Therefore, it is crucial to understand the fluid flow's underlying key </w:t>
      </w:r>
      <w:proofErr w:type="spellStart"/>
      <w:r w:rsidRPr="00FC35FF">
        <w:rPr>
          <w:szCs w:val="22"/>
          <w:lang w:val="en-GB"/>
        </w:rPr>
        <w:t>behaviors</w:t>
      </w:r>
      <w:proofErr w:type="spellEnd"/>
      <w:r w:rsidRPr="00FC35FF">
        <w:rPr>
          <w:szCs w:val="22"/>
          <w:lang w:val="en-GB"/>
        </w:rPr>
        <w:t xml:space="preserve"> in response to various disturbances or situations. In this study, through two illustrative case studies, we present the use of flow </w:t>
      </w:r>
      <w:proofErr w:type="spellStart"/>
      <w:r w:rsidRPr="00FC35FF">
        <w:rPr>
          <w:szCs w:val="22"/>
          <w:lang w:val="en-GB"/>
        </w:rPr>
        <w:t>modeling</w:t>
      </w:r>
      <w:proofErr w:type="spellEnd"/>
      <w:r w:rsidRPr="00FC35FF">
        <w:rPr>
          <w:szCs w:val="22"/>
          <w:lang w:val="en-GB"/>
        </w:rPr>
        <w:t xml:space="preserve"> and simulation for a better understanding of the effects of shear-rate-dependent viscosities on the fluid flows.</w:t>
      </w:r>
    </w:p>
    <w:p w14:paraId="1D7CB6A7" w14:textId="77777777" w:rsidR="00FC35FF" w:rsidRPr="00FC35FF" w:rsidRDefault="00FC35FF" w:rsidP="00FC35FF">
      <w:pPr>
        <w:pStyle w:val="a9"/>
        <w:spacing w:line="240" w:lineRule="atLeast"/>
        <w:rPr>
          <w:szCs w:val="22"/>
          <w:lang w:val="en-GB"/>
        </w:rPr>
      </w:pPr>
    </w:p>
    <w:p w14:paraId="5477E255" w14:textId="546FE4A1" w:rsidR="00FC35FF" w:rsidRPr="00FC35FF" w:rsidRDefault="00FC35FF" w:rsidP="00FC35FF">
      <w:pPr>
        <w:pStyle w:val="a9"/>
        <w:spacing w:line="240" w:lineRule="atLeast"/>
        <w:rPr>
          <w:szCs w:val="22"/>
          <w:lang w:val="en-GB"/>
        </w:rPr>
      </w:pPr>
      <w:r w:rsidRPr="00FC35FF">
        <w:rPr>
          <w:szCs w:val="22"/>
          <w:lang w:val="en-GB"/>
        </w:rPr>
        <w:t>In the first case, we explore the flow properties of pulsatile shear-thinning flows in a two-dimensional rectangular channel [</w:t>
      </w:r>
      <w:r w:rsidR="00AA15D7">
        <w:rPr>
          <w:szCs w:val="22"/>
          <w:lang w:val="en-GB"/>
        </w:rPr>
        <w:t>1</w:t>
      </w:r>
      <w:r w:rsidRPr="00FC35FF">
        <w:rPr>
          <w:szCs w:val="22"/>
          <w:lang w:val="en-GB"/>
        </w:rPr>
        <w:t>]. Various external disturbances such as oscillations from flow pumps are commonly encountered in industrial processes, and such disturbances may result in unexpected changes in the rheological properties of the complex fluids. Therefore, it is important to acquire an in-depth understanding of transient non-Newtonian flows.</w:t>
      </w:r>
    </w:p>
    <w:p w14:paraId="1632C387" w14:textId="77777777" w:rsidR="00FC35FF" w:rsidRPr="00FC35FF" w:rsidRDefault="00FC35FF" w:rsidP="00FC35FF">
      <w:pPr>
        <w:pStyle w:val="a9"/>
        <w:spacing w:line="240" w:lineRule="atLeast"/>
        <w:rPr>
          <w:szCs w:val="22"/>
          <w:lang w:val="en-GB"/>
        </w:rPr>
      </w:pPr>
    </w:p>
    <w:p w14:paraId="3483D40E" w14:textId="77777777" w:rsidR="00FC35FF" w:rsidRPr="00FC35FF" w:rsidRDefault="00FC35FF" w:rsidP="00FC35FF">
      <w:pPr>
        <w:pStyle w:val="a9"/>
        <w:spacing w:line="240" w:lineRule="atLeast"/>
        <w:rPr>
          <w:szCs w:val="22"/>
          <w:lang w:val="en-GB"/>
        </w:rPr>
      </w:pPr>
      <w:r w:rsidRPr="00FC35FF">
        <w:rPr>
          <w:szCs w:val="22"/>
          <w:lang w:val="en-GB"/>
        </w:rPr>
        <w:t xml:space="preserve">The characteristic viscosity chosen based on the steady-state analysis was defined for the pulsatile shear-thinning flow. It was used to form a non-Newtonian Womersley number, which acts as a critical model parameter of the system of interest. Numerical analyses of </w:t>
      </w:r>
      <w:proofErr w:type="spellStart"/>
      <w:r w:rsidRPr="00FC35FF">
        <w:rPr>
          <w:szCs w:val="22"/>
          <w:lang w:val="en-GB"/>
        </w:rPr>
        <w:t>Carreau</w:t>
      </w:r>
      <w:proofErr w:type="spellEnd"/>
      <w:r w:rsidRPr="00FC35FF">
        <w:rPr>
          <w:szCs w:val="22"/>
          <w:lang w:val="en-GB"/>
        </w:rPr>
        <w:t xml:space="preserve"> fluids revealed the existence of master curves for the amplitudes and phase lags of the flows, indicating that our definition of non-Newtonian Womersley number concisely represented the transient dynamics of non-Newtonian flows. Interestingly, the shape of the master curve was determined by the degree of shear-thinning. We advanced further to demonstrate that the flow dynamics can be predicted using the pre-computed master curves with high accuracy, presenting a novel method of predicting shear-thinning pulsatile flow dynamics without explicit transient computations.</w:t>
      </w:r>
    </w:p>
    <w:p w14:paraId="406AF7E6" w14:textId="77777777" w:rsidR="00FC35FF" w:rsidRPr="00FC35FF" w:rsidRDefault="00FC35FF" w:rsidP="00FC35FF">
      <w:pPr>
        <w:pStyle w:val="a9"/>
        <w:spacing w:line="240" w:lineRule="atLeast"/>
        <w:rPr>
          <w:szCs w:val="22"/>
          <w:lang w:val="en-GB"/>
        </w:rPr>
      </w:pPr>
    </w:p>
    <w:p w14:paraId="62B51216" w14:textId="05247E01" w:rsidR="00FC35FF" w:rsidRPr="00FC35FF" w:rsidRDefault="00FC35FF" w:rsidP="00FC35FF">
      <w:pPr>
        <w:pStyle w:val="a9"/>
        <w:spacing w:line="240" w:lineRule="atLeast"/>
        <w:rPr>
          <w:szCs w:val="22"/>
          <w:lang w:val="en-GB"/>
        </w:rPr>
      </w:pPr>
      <w:r w:rsidRPr="00FC35FF">
        <w:rPr>
          <w:szCs w:val="22"/>
          <w:lang w:val="en-GB"/>
        </w:rPr>
        <w:t xml:space="preserve">In the second case, we explore the effect of the shear-rate-viscosity on the operating conditions that lead to the formation of </w:t>
      </w:r>
      <w:proofErr w:type="spellStart"/>
      <w:r w:rsidRPr="00FC35FF">
        <w:rPr>
          <w:szCs w:val="22"/>
          <w:lang w:val="en-GB"/>
        </w:rPr>
        <w:t>microvortices</w:t>
      </w:r>
      <w:proofErr w:type="spellEnd"/>
      <w:r w:rsidRPr="00FC35FF">
        <w:rPr>
          <w:szCs w:val="22"/>
          <w:lang w:val="en-GB"/>
        </w:rPr>
        <w:t xml:space="preserve"> in the slot coating flows, which are known to have a detrimental effect on the stable process operation and production of defect-free film products [</w:t>
      </w:r>
      <w:r w:rsidR="00AA15D7">
        <w:rPr>
          <w:szCs w:val="22"/>
          <w:lang w:val="en-GB"/>
        </w:rPr>
        <w:t>2</w:t>
      </w:r>
      <w:r w:rsidRPr="00FC35FF">
        <w:rPr>
          <w:szCs w:val="22"/>
          <w:lang w:val="en-GB"/>
        </w:rPr>
        <w:t xml:space="preserve">]. We simplify the </w:t>
      </w:r>
      <w:proofErr w:type="spellStart"/>
      <w:r w:rsidRPr="00FC35FF">
        <w:rPr>
          <w:szCs w:val="22"/>
          <w:lang w:val="en-GB"/>
        </w:rPr>
        <w:t>microvortices</w:t>
      </w:r>
      <w:proofErr w:type="spellEnd"/>
      <w:r w:rsidRPr="00FC35FF">
        <w:rPr>
          <w:szCs w:val="22"/>
          <w:lang w:val="en-GB"/>
        </w:rPr>
        <w:t xml:space="preserve"> found in the downstream region of slot coating flow as flow reversal and present the effect of the shear-rate-dependent viscosity on the critical operating conditions at the onset of the flow reversal [</w:t>
      </w:r>
      <w:r w:rsidR="00AA15D7">
        <w:rPr>
          <w:szCs w:val="22"/>
          <w:lang w:val="en-GB"/>
        </w:rPr>
        <w:t>3</w:t>
      </w:r>
      <w:r w:rsidRPr="00FC35FF">
        <w:rPr>
          <w:szCs w:val="22"/>
          <w:lang w:val="en-GB"/>
        </w:rPr>
        <w:t>].</w:t>
      </w:r>
    </w:p>
    <w:p w14:paraId="5783C689" w14:textId="77777777" w:rsidR="00FC35FF" w:rsidRPr="00FC35FF" w:rsidRDefault="00FC35FF" w:rsidP="00FC35FF">
      <w:pPr>
        <w:pStyle w:val="a9"/>
        <w:spacing w:line="240" w:lineRule="atLeast"/>
        <w:rPr>
          <w:szCs w:val="22"/>
          <w:lang w:val="en-GB"/>
        </w:rPr>
      </w:pPr>
    </w:p>
    <w:p w14:paraId="756448DD" w14:textId="77777777" w:rsidR="00FC35FF" w:rsidRPr="00FC35FF" w:rsidRDefault="00FC35FF" w:rsidP="00FC35FF">
      <w:pPr>
        <w:pStyle w:val="a9"/>
        <w:spacing w:line="240" w:lineRule="atLeast"/>
        <w:rPr>
          <w:szCs w:val="22"/>
          <w:lang w:val="en-GB"/>
        </w:rPr>
      </w:pPr>
      <w:r w:rsidRPr="00FC35FF">
        <w:rPr>
          <w:szCs w:val="22"/>
          <w:lang w:val="en-GB"/>
        </w:rPr>
        <w:t>Two methods for computing the critical condition in slot coating flows of generalized Newtonian fluids (GNFs) are presented: a semi-analytical method based on the Weissenberg-</w:t>
      </w:r>
      <w:proofErr w:type="spellStart"/>
      <w:r w:rsidRPr="00FC35FF">
        <w:rPr>
          <w:szCs w:val="22"/>
          <w:lang w:val="en-GB"/>
        </w:rPr>
        <w:t>Rabinowitsch</w:t>
      </w:r>
      <w:proofErr w:type="spellEnd"/>
      <w:r w:rsidRPr="00FC35FF">
        <w:rPr>
          <w:szCs w:val="22"/>
          <w:lang w:val="en-GB"/>
        </w:rPr>
        <w:t xml:space="preserve"> </w:t>
      </w:r>
      <w:proofErr w:type="gramStart"/>
      <w:r w:rsidRPr="00FC35FF">
        <w:rPr>
          <w:szCs w:val="22"/>
          <w:lang w:val="en-GB"/>
        </w:rPr>
        <w:t>equation</w:t>
      </w:r>
      <w:proofErr w:type="gramEnd"/>
      <w:r w:rsidRPr="00FC35FF">
        <w:rPr>
          <w:szCs w:val="22"/>
          <w:lang w:val="en-GB"/>
        </w:rPr>
        <w:t xml:space="preserve"> and an approximate method based on the local power-law approximation. The two methods were applied to the flows of two illustrative GNFs, the </w:t>
      </w:r>
      <w:proofErr w:type="spellStart"/>
      <w:r w:rsidRPr="00FC35FF">
        <w:rPr>
          <w:szCs w:val="22"/>
          <w:lang w:val="en-GB"/>
        </w:rPr>
        <w:t>Carreau</w:t>
      </w:r>
      <w:proofErr w:type="spellEnd"/>
      <w:r w:rsidRPr="00FC35FF">
        <w:rPr>
          <w:szCs w:val="22"/>
          <w:lang w:val="en-GB"/>
        </w:rPr>
        <w:t>-Yasuda, and Bingham-</w:t>
      </w:r>
      <w:proofErr w:type="spellStart"/>
      <w:r w:rsidRPr="00FC35FF">
        <w:rPr>
          <w:szCs w:val="22"/>
          <w:lang w:val="en-GB"/>
        </w:rPr>
        <w:t>Carreau</w:t>
      </w:r>
      <w:proofErr w:type="spellEnd"/>
      <w:r w:rsidRPr="00FC35FF">
        <w:rPr>
          <w:szCs w:val="22"/>
          <w:lang w:val="en-GB"/>
        </w:rPr>
        <w:t>-Yasuda fluids. They were both found to be successful in computing the critical flow reversal conditions. It was also revealed that the critical conditions depended significantly on the local power-law index n, which quantifies the dependency of the viscosity on the magnitude of the shear rate.</w:t>
      </w:r>
    </w:p>
    <w:p w14:paraId="241B536A" w14:textId="77777777" w:rsidR="00D81869" w:rsidRDefault="00D81869" w:rsidP="00D81869">
      <w:pPr>
        <w:pStyle w:val="a9"/>
        <w:spacing w:line="240" w:lineRule="atLeast"/>
        <w:rPr>
          <w:rFonts w:eastAsia="맑은 고딕"/>
          <w:szCs w:val="22"/>
          <w:lang w:val="it-IT" w:eastAsia="ko-KR"/>
        </w:rPr>
      </w:pPr>
    </w:p>
    <w:p w14:paraId="475BD1BD" w14:textId="77777777" w:rsidR="00D81869" w:rsidRPr="00C377C7" w:rsidRDefault="00D81869" w:rsidP="00D81869">
      <w:pPr>
        <w:pStyle w:val="a9"/>
        <w:spacing w:before="240" w:after="120" w:line="240" w:lineRule="atLeast"/>
        <w:rPr>
          <w:b/>
          <w:szCs w:val="22"/>
          <w:lang w:val="es-ES"/>
        </w:rPr>
      </w:pPr>
      <w:r w:rsidRPr="00C377C7">
        <w:rPr>
          <w:b/>
          <w:szCs w:val="22"/>
          <w:lang w:val="es-ES"/>
        </w:rPr>
        <w:t>REFERENCES</w:t>
      </w:r>
    </w:p>
    <w:p w14:paraId="79C4B2D8" w14:textId="557BF777" w:rsidR="00FC35FF" w:rsidRPr="00FC35FF" w:rsidRDefault="00FC35FF" w:rsidP="00FC35FF">
      <w:pPr>
        <w:pStyle w:val="a9"/>
        <w:numPr>
          <w:ilvl w:val="0"/>
          <w:numId w:val="6"/>
        </w:numPr>
        <w:spacing w:line="240" w:lineRule="atLeast"/>
        <w:rPr>
          <w:sz w:val="24"/>
          <w:lang w:val="en-GB"/>
        </w:rPr>
      </w:pPr>
      <w:r>
        <w:rPr>
          <w:rFonts w:eastAsia="맑은 고딕" w:hint="eastAsia"/>
          <w:szCs w:val="22"/>
          <w:lang w:val="en-GB" w:eastAsia="ko-KR"/>
        </w:rPr>
        <w:t>P</w:t>
      </w:r>
      <w:r>
        <w:rPr>
          <w:rFonts w:eastAsia="맑은 고딕"/>
          <w:szCs w:val="22"/>
          <w:lang w:val="en-GB" w:eastAsia="ko-KR"/>
        </w:rPr>
        <w:t>ark, N., &amp; Nam, J. Analysis of pulsatile shear-thinning flow in rectangular channels (submitted).</w:t>
      </w:r>
    </w:p>
    <w:p w14:paraId="288A1D66" w14:textId="603559D9" w:rsidR="00D81869" w:rsidRDefault="00D81869" w:rsidP="00D81869">
      <w:pPr>
        <w:pStyle w:val="a9"/>
        <w:numPr>
          <w:ilvl w:val="0"/>
          <w:numId w:val="6"/>
        </w:numPr>
        <w:spacing w:line="240" w:lineRule="atLeast"/>
        <w:rPr>
          <w:szCs w:val="22"/>
          <w:lang w:val="en-GB"/>
        </w:rPr>
      </w:pPr>
      <w:r w:rsidRPr="0069203B">
        <w:rPr>
          <w:szCs w:val="22"/>
          <w:lang w:val="en-GB"/>
        </w:rPr>
        <w:lastRenderedPageBreak/>
        <w:t xml:space="preserve">Kwak, H., &amp; Nam, J. Simple criterion for vortex formation in the channel flow of power-law fluids. </w:t>
      </w:r>
      <w:r w:rsidRPr="0069203B">
        <w:rPr>
          <w:i/>
          <w:szCs w:val="22"/>
          <w:lang w:val="en-GB"/>
        </w:rPr>
        <w:t>Journal of Non-Newtonian Fluid Mechanics</w:t>
      </w:r>
      <w:r>
        <w:rPr>
          <w:szCs w:val="22"/>
          <w:lang w:val="en-GB"/>
        </w:rPr>
        <w:t>.</w:t>
      </w:r>
      <w:r w:rsidRPr="0069203B">
        <w:rPr>
          <w:szCs w:val="22"/>
          <w:lang w:val="en-GB"/>
        </w:rPr>
        <w:t xml:space="preserve"> (2020)</w:t>
      </w:r>
      <w:r>
        <w:rPr>
          <w:szCs w:val="22"/>
          <w:lang w:val="en-GB"/>
        </w:rPr>
        <w:t xml:space="preserve"> </w:t>
      </w:r>
      <w:r w:rsidRPr="0069203B">
        <w:rPr>
          <w:b/>
          <w:szCs w:val="22"/>
          <w:lang w:val="en-GB"/>
        </w:rPr>
        <w:t>284</w:t>
      </w:r>
      <w:r w:rsidRPr="0069203B">
        <w:rPr>
          <w:szCs w:val="22"/>
          <w:lang w:val="en-GB"/>
        </w:rPr>
        <w:t>: 104372.</w:t>
      </w:r>
    </w:p>
    <w:p w14:paraId="55968E72" w14:textId="77777777" w:rsidR="00D81869" w:rsidRDefault="00D81869" w:rsidP="00D81869">
      <w:pPr>
        <w:pStyle w:val="a9"/>
        <w:numPr>
          <w:ilvl w:val="0"/>
          <w:numId w:val="6"/>
        </w:numPr>
        <w:spacing w:line="240" w:lineRule="atLeast"/>
        <w:rPr>
          <w:szCs w:val="22"/>
          <w:lang w:val="en-GB"/>
        </w:rPr>
      </w:pPr>
      <w:r w:rsidRPr="0069203B">
        <w:rPr>
          <w:szCs w:val="22"/>
          <w:lang w:val="en-GB"/>
        </w:rPr>
        <w:t>Kwak, H., &amp; Nam, J. Simple methods for obtaining flow reversal conditions in Couette–Poiseu</w:t>
      </w:r>
      <w:r>
        <w:rPr>
          <w:szCs w:val="22"/>
          <w:lang w:val="en-GB"/>
        </w:rPr>
        <w:t xml:space="preserve">ille flow. </w:t>
      </w:r>
      <w:r w:rsidRPr="0069203B">
        <w:rPr>
          <w:i/>
          <w:szCs w:val="22"/>
          <w:lang w:val="en-GB"/>
        </w:rPr>
        <w:t>Journal of Rheology</w:t>
      </w:r>
      <w:r>
        <w:rPr>
          <w:szCs w:val="22"/>
          <w:lang w:val="en-GB"/>
        </w:rPr>
        <w:t xml:space="preserve">. </w:t>
      </w:r>
      <w:r w:rsidRPr="0069203B">
        <w:rPr>
          <w:szCs w:val="22"/>
          <w:lang w:val="en-GB"/>
        </w:rPr>
        <w:t xml:space="preserve">(2021) </w:t>
      </w:r>
      <w:r w:rsidRPr="0069203B">
        <w:rPr>
          <w:b/>
          <w:szCs w:val="22"/>
          <w:lang w:val="en-GB"/>
        </w:rPr>
        <w:t>65</w:t>
      </w:r>
      <w:r w:rsidRPr="0069203B">
        <w:rPr>
          <w:szCs w:val="22"/>
          <w:lang w:val="en-GB"/>
        </w:rPr>
        <w:t>(5)</w:t>
      </w:r>
      <w:r>
        <w:rPr>
          <w:szCs w:val="22"/>
          <w:lang w:val="en-GB"/>
        </w:rPr>
        <w:t>:</w:t>
      </w:r>
      <w:r w:rsidRPr="0069203B">
        <w:rPr>
          <w:szCs w:val="22"/>
          <w:lang w:val="en-GB"/>
        </w:rPr>
        <w:t xml:space="preserve"> 1023-1033.</w:t>
      </w:r>
    </w:p>
    <w:p w14:paraId="13BD61B6" w14:textId="77777777" w:rsidR="000937C2" w:rsidRPr="00EB02CC" w:rsidRDefault="000937C2" w:rsidP="006F4293">
      <w:pPr>
        <w:rPr>
          <w:lang w:val="en-US"/>
        </w:rPr>
      </w:pPr>
    </w:p>
    <w:sectPr w:rsidR="000937C2"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5972" w14:textId="77777777" w:rsidR="00786E3A" w:rsidRDefault="00786E3A">
      <w:r>
        <w:separator/>
      </w:r>
    </w:p>
  </w:endnote>
  <w:endnote w:type="continuationSeparator" w:id="0">
    <w:p w14:paraId="2ABC839A" w14:textId="77777777" w:rsidR="00786E3A" w:rsidRDefault="0078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FB7D" w14:textId="77777777" w:rsidR="00C93602" w:rsidRDefault="00C936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BBAE74" w14:textId="77777777" w:rsidR="00C93602" w:rsidRDefault="00C936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FD3D" w14:textId="77777777" w:rsidR="00C93602" w:rsidRDefault="00C9360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E55F1">
      <w:rPr>
        <w:rStyle w:val="a8"/>
        <w:noProof/>
      </w:rPr>
      <w:t>2</w:t>
    </w:r>
    <w:r>
      <w:rPr>
        <w:rStyle w:val="a8"/>
      </w:rPr>
      <w:fldChar w:fldCharType="end"/>
    </w:r>
  </w:p>
  <w:p w14:paraId="599BE247" w14:textId="77777777" w:rsidR="00C93602" w:rsidRDefault="00C936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55CF" w14:textId="77777777" w:rsidR="00786E3A" w:rsidRDefault="00786E3A">
      <w:r>
        <w:separator/>
      </w:r>
    </w:p>
  </w:footnote>
  <w:footnote w:type="continuationSeparator" w:id="0">
    <w:p w14:paraId="446C51C0" w14:textId="77777777" w:rsidR="00786E3A" w:rsidRDefault="0078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EC75"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DCC4"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77E901D3"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40F7E574" w14:textId="77777777" w:rsidR="00C93602" w:rsidRPr="003E6122" w:rsidRDefault="003E6122" w:rsidP="009E55F1">
    <w:pPr>
      <w:pStyle w:val="a5"/>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012A6471" w14:textId="77777777" w:rsidR="00DD5847" w:rsidRDefault="00DD5847" w:rsidP="00952EDD">
    <w:pPr>
      <w:pStyle w:val="a5"/>
      <w:jc w:val="right"/>
      <w:rPr>
        <w:bCs/>
        <w:sz w:val="18"/>
        <w:szCs w:val="18"/>
        <w:lang w:val="en-GB"/>
      </w:rPr>
    </w:pPr>
  </w:p>
  <w:p w14:paraId="525BF999" w14:textId="77777777" w:rsidR="00DD5847" w:rsidRDefault="00DD5847" w:rsidP="00952EDD">
    <w:pPr>
      <w:pStyle w:val="a5"/>
      <w:jc w:val="right"/>
      <w:rPr>
        <w:bCs/>
        <w:sz w:val="18"/>
        <w:szCs w:val="18"/>
        <w:lang w:val="en-GB"/>
      </w:rPr>
    </w:pPr>
  </w:p>
  <w:p w14:paraId="2D83456A" w14:textId="77777777" w:rsidR="00DD5847" w:rsidRPr="00653867" w:rsidRDefault="00DD5847" w:rsidP="00DD5847">
    <w:pPr>
      <w:pStyle w:val="a5"/>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63FE1"/>
    <w:rsid w:val="001C57D2"/>
    <w:rsid w:val="001C6A2E"/>
    <w:rsid w:val="00250215"/>
    <w:rsid w:val="003A038F"/>
    <w:rsid w:val="003C188E"/>
    <w:rsid w:val="003E6122"/>
    <w:rsid w:val="00512A06"/>
    <w:rsid w:val="00555774"/>
    <w:rsid w:val="0056767B"/>
    <w:rsid w:val="00577D1C"/>
    <w:rsid w:val="005A7F0E"/>
    <w:rsid w:val="005F59AA"/>
    <w:rsid w:val="00635E39"/>
    <w:rsid w:val="006365EF"/>
    <w:rsid w:val="00645FDD"/>
    <w:rsid w:val="00653867"/>
    <w:rsid w:val="00695FA1"/>
    <w:rsid w:val="006C63D6"/>
    <w:rsid w:val="006F4293"/>
    <w:rsid w:val="00786E3A"/>
    <w:rsid w:val="007C1C38"/>
    <w:rsid w:val="007E712E"/>
    <w:rsid w:val="00816E6C"/>
    <w:rsid w:val="00820C95"/>
    <w:rsid w:val="00851CF4"/>
    <w:rsid w:val="008A6306"/>
    <w:rsid w:val="009017CD"/>
    <w:rsid w:val="0091061D"/>
    <w:rsid w:val="00952EDD"/>
    <w:rsid w:val="009771D8"/>
    <w:rsid w:val="009A3B76"/>
    <w:rsid w:val="009B188B"/>
    <w:rsid w:val="009E55F1"/>
    <w:rsid w:val="009F5759"/>
    <w:rsid w:val="00AA15D7"/>
    <w:rsid w:val="00B401D6"/>
    <w:rsid w:val="00C01AA4"/>
    <w:rsid w:val="00C0423D"/>
    <w:rsid w:val="00C060AE"/>
    <w:rsid w:val="00C93602"/>
    <w:rsid w:val="00CC0C75"/>
    <w:rsid w:val="00D1526D"/>
    <w:rsid w:val="00D41D66"/>
    <w:rsid w:val="00D81869"/>
    <w:rsid w:val="00DD5847"/>
    <w:rsid w:val="00EB02CC"/>
    <w:rsid w:val="00EB5FF3"/>
    <w:rsid w:val="00EC6843"/>
    <w:rsid w:val="00F32510"/>
    <w:rsid w:val="00F71EA8"/>
    <w:rsid w:val="00FB0C73"/>
    <w:rsid w:val="00FB2843"/>
    <w:rsid w:val="00FC35FF"/>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8FA2D"/>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Char"/>
    <w:qFormat/>
    <w:rsid w:val="00577D1C"/>
    <w:pPr>
      <w:keepNext/>
      <w:widowControl w:val="0"/>
      <w:spacing w:after="120"/>
      <w:jc w:val="center"/>
      <w:outlineLvl w:val="0"/>
    </w:pPr>
    <w:rPr>
      <w:b/>
      <w:spacing w:val="4"/>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a"/>
    <w:pPr>
      <w:widowControl w:val="0"/>
      <w:tabs>
        <w:tab w:val="left" w:pos="142"/>
      </w:tabs>
      <w:autoSpaceDE w:val="0"/>
      <w:autoSpaceDN w:val="0"/>
      <w:jc w:val="center"/>
    </w:pPr>
    <w:rPr>
      <w:strike/>
      <w:sz w:val="22"/>
      <w:szCs w:val="22"/>
      <w:lang w:val="es-ES_tradnl"/>
    </w:rPr>
  </w:style>
  <w:style w:type="character" w:styleId="a4">
    <w:name w:val="Hyperlink"/>
    <w:basedOn w:val="a0"/>
    <w:rPr>
      <w:color w:val="0000FF"/>
      <w:u w:val="single"/>
    </w:rPr>
  </w:style>
  <w:style w:type="paragraph" w:customStyle="1" w:styleId="PieFigoTablaCOMNI">
    <w:name w:val="Pie Fig. o Tabla. COMNI"/>
    <w:basedOn w:val="a"/>
    <w:pPr>
      <w:widowControl w:val="0"/>
      <w:autoSpaceDE w:val="0"/>
      <w:autoSpaceDN w:val="0"/>
      <w:spacing w:before="120" w:after="240"/>
      <w:ind w:firstLine="284"/>
      <w:jc w:val="center"/>
    </w:pPr>
    <w:rPr>
      <w:strike/>
      <w:sz w:val="20"/>
      <w:lang w:val="es-ES_tradnl"/>
    </w:rPr>
  </w:style>
  <w:style w:type="paragraph" w:styleId="a5">
    <w:name w:val="header"/>
    <w:basedOn w:val="a"/>
    <w:pPr>
      <w:tabs>
        <w:tab w:val="center" w:pos="4252"/>
        <w:tab w:val="right" w:pos="8504"/>
      </w:tabs>
    </w:pPr>
  </w:style>
  <w:style w:type="paragraph" w:styleId="a6">
    <w:name w:val="footer"/>
    <w:basedOn w:val="a"/>
    <w:pPr>
      <w:tabs>
        <w:tab w:val="center" w:pos="4252"/>
        <w:tab w:val="right" w:pos="8504"/>
      </w:tabs>
    </w:pPr>
  </w:style>
  <w:style w:type="character" w:styleId="a7">
    <w:name w:val="FollowedHyperlink"/>
    <w:basedOn w:val="a0"/>
    <w:rPr>
      <w:color w:val="800080"/>
      <w:u w:val="single"/>
    </w:rPr>
  </w:style>
  <w:style w:type="character" w:styleId="a8">
    <w:name w:val="page number"/>
    <w:basedOn w:val="a0"/>
  </w:style>
  <w:style w:type="paragraph" w:styleId="a9">
    <w:name w:val="Body Text"/>
    <w:basedOn w:val="a"/>
    <w:link w:val="Char"/>
    <w:pPr>
      <w:widowControl w:val="0"/>
      <w:jc w:val="both"/>
    </w:pPr>
    <w:rPr>
      <w:sz w:val="22"/>
      <w:szCs w:val="20"/>
      <w:lang w:val="es-ES_tradnl"/>
    </w:rPr>
  </w:style>
  <w:style w:type="paragraph" w:customStyle="1" w:styleId="ReferenciaCOMNI">
    <w:name w:val="Referencia. COMNI"/>
    <w:basedOn w:val="a"/>
    <w:pPr>
      <w:widowControl w:val="0"/>
      <w:tabs>
        <w:tab w:val="left" w:pos="426"/>
      </w:tabs>
      <w:ind w:left="425" w:hanging="425"/>
      <w:jc w:val="both"/>
    </w:pPr>
    <w:rPr>
      <w:noProof/>
      <w:szCs w:val="20"/>
      <w:lang w:val="es-ES_tradnl"/>
    </w:rPr>
  </w:style>
  <w:style w:type="paragraph" w:styleId="aa">
    <w:name w:val="Balloon Text"/>
    <w:basedOn w:val="a"/>
    <w:semiHidden/>
    <w:rsid w:val="00555774"/>
    <w:rPr>
      <w:rFonts w:ascii="Tahoma" w:hAnsi="Tahoma" w:cs="Tahoma"/>
      <w:sz w:val="16"/>
      <w:szCs w:val="16"/>
    </w:rPr>
  </w:style>
  <w:style w:type="character" w:customStyle="1" w:styleId="Char">
    <w:name w:val="본문 Char"/>
    <w:basedOn w:val="a0"/>
    <w:link w:val="a9"/>
    <w:rsid w:val="00D1526D"/>
    <w:rPr>
      <w:sz w:val="22"/>
      <w:lang w:val="es-ES_tradnl"/>
    </w:rPr>
  </w:style>
  <w:style w:type="character" w:customStyle="1" w:styleId="1Char">
    <w:name w:val="제목 1 Char"/>
    <w:basedOn w:val="a0"/>
    <w:link w:val="1"/>
    <w:rsid w:val="00577D1C"/>
    <w:rPr>
      <w:b/>
      <w:spacing w:val="4"/>
      <w:sz w:val="22"/>
      <w:lang w:val="en-GB"/>
    </w:rPr>
  </w:style>
  <w:style w:type="paragraph" w:customStyle="1" w:styleId="TtuloRefCOMNI">
    <w:name w:val="Título Ref. COMNI"/>
    <w:basedOn w:val="a"/>
    <w:rsid w:val="00577D1C"/>
    <w:pPr>
      <w:keepNext/>
      <w:keepLines/>
      <w:widowControl w:val="0"/>
      <w:spacing w:before="240" w:after="120"/>
    </w:pPr>
    <w:rPr>
      <w:b/>
      <w:caps/>
      <w:szCs w:val="20"/>
      <w:lang w:val="es-ES_tradnl"/>
    </w:rPr>
  </w:style>
  <w:style w:type="paragraph" w:customStyle="1" w:styleId="TtuloArtCOMNI">
    <w:name w:val="Título Art. COMNI"/>
    <w:basedOn w:val="a"/>
    <w:rsid w:val="00577D1C"/>
    <w:pPr>
      <w:widowControl w:val="0"/>
      <w:spacing w:after="240"/>
      <w:jc w:val="center"/>
    </w:pPr>
    <w:rPr>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3784</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남 재욱</cp:lastModifiedBy>
  <cp:revision>3</cp:revision>
  <cp:lastPrinted>2013-02-28T13:08:00Z</cp:lastPrinted>
  <dcterms:created xsi:type="dcterms:W3CDTF">2021-12-13T06:32:00Z</dcterms:created>
  <dcterms:modified xsi:type="dcterms:W3CDTF">2021-12-13T06:46:00Z</dcterms:modified>
</cp:coreProperties>
</file>