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ArtCOMNI"/>
        <w:widowControl/>
        <w:spacing w:lineRule="atLeast" w:line="120" w:before="0" w:after="0"/>
        <w:rPr/>
      </w:pPr>
      <w:r>
        <w:rPr>
          <w:lang w:val="en-GB"/>
        </w:rPr>
        <w:t>On the analysis of targeted cooling processes and resulting residual stresses</w:t>
      </w:r>
    </w:p>
    <w:p>
      <w:pPr>
        <w:pStyle w:val="TtuloArtCOMNI"/>
        <w:widowControl/>
        <w:spacing w:lineRule="atLeast" w:line="120" w:before="0" w:after="0"/>
        <w:rPr>
          <w:lang w:val="en-GB"/>
        </w:rPr>
      </w:pPr>
      <w:r>
        <w:rPr>
          <w:lang w:val="en-GB"/>
        </w:rPr>
      </w:r>
    </w:p>
    <w:p>
      <w:pPr>
        <w:pStyle w:val="Berschrift1"/>
        <w:widowControl/>
        <w:spacing w:lineRule="atLeast" w:line="120"/>
        <w:rPr/>
      </w:pPr>
      <w:r>
        <w:rPr>
          <w:spacing w:val="0"/>
          <w:sz w:val="24"/>
        </w:rPr>
        <w:t>Sonja Hellebrand¹*, Lisa Scheunemann</w:t>
      </w:r>
      <w:r>
        <w:rPr>
          <w:sz w:val="24"/>
          <w:vertAlign w:val="superscript"/>
        </w:rPr>
        <w:t>²</w:t>
      </w:r>
      <w:r>
        <w:rPr>
          <w:spacing w:val="0"/>
          <w:sz w:val="24"/>
        </w:rPr>
        <w:t>, Dominik Brands¹ and Jörg Schröder¹</w:t>
      </w:r>
    </w:p>
    <w:p>
      <w:pPr>
        <w:pStyle w:val="Normal"/>
        <w:jc w:val="center"/>
        <w:rPr/>
      </w:pPr>
      <w:r>
        <w:rPr>
          <w:sz w:val="22"/>
          <w:szCs w:val="22"/>
          <w:vertAlign w:val="superscript"/>
          <w:lang w:val="en-GB"/>
        </w:rPr>
        <w:t>1</w:t>
      </w:r>
      <w:r>
        <w:rPr>
          <w:sz w:val="22"/>
          <w:szCs w:val="22"/>
          <w:lang w:val="en-GB"/>
        </w:rPr>
        <w:t xml:space="preserve"> Institute of Mechanics, Faculty of Engineering, University Duisburg-Essen, </w:t>
      </w:r>
    </w:p>
    <w:p>
      <w:pPr>
        <w:pStyle w:val="Normal"/>
        <w:jc w:val="center"/>
        <w:rPr/>
      </w:pPr>
      <w:r>
        <w:rPr>
          <w:sz w:val="22"/>
          <w:szCs w:val="22"/>
          <w:lang w:val="en-GB"/>
        </w:rPr>
        <w:t xml:space="preserve">Universitätsstraße 15, 45141 Essen, Germany </w:t>
      </w:r>
    </w:p>
    <w:p>
      <w:pPr>
        <w:pStyle w:val="Normal"/>
        <w:jc w:val="center"/>
        <w:rPr/>
      </w:pPr>
      <w:hyperlink r:id="rId2">
        <w:r>
          <w:rPr>
            <w:rStyle w:val="Internetverknpfung"/>
            <w:sz w:val="22"/>
            <w:szCs w:val="22"/>
            <w:lang w:val="en-GB"/>
          </w:rPr>
          <w:t>sonja.hellebrand@uni-due.de</w:t>
        </w:r>
      </w:hyperlink>
      <w:r>
        <w:rPr>
          <w:sz w:val="22"/>
          <w:szCs w:val="22"/>
          <w:lang w:val="en-GB"/>
        </w:rPr>
        <w:t xml:space="preserve">, </w:t>
      </w:r>
      <w:hyperlink r:id="rId3">
        <w:r>
          <w:rPr>
            <w:rStyle w:val="Internetverknpfung"/>
            <w:sz w:val="22"/>
            <w:szCs w:val="22"/>
            <w:lang w:val="en-GB"/>
          </w:rPr>
          <w:t>dominik.brands@uni-due.de</w:t>
        </w:r>
      </w:hyperlink>
      <w:r>
        <w:rPr>
          <w:sz w:val="22"/>
          <w:szCs w:val="22"/>
          <w:lang w:val="en-GB"/>
        </w:rPr>
        <w:t xml:space="preserve">, </w:t>
      </w:r>
      <w:hyperlink r:id="rId4">
        <w:r>
          <w:rPr>
            <w:rStyle w:val="Internetverknpfung"/>
            <w:sz w:val="22"/>
            <w:szCs w:val="22"/>
            <w:lang w:val="en-GB"/>
          </w:rPr>
          <w:t>j.schroeder@uni-due.de</w:t>
        </w:r>
      </w:hyperlink>
      <w:r>
        <w:rPr>
          <w:sz w:val="22"/>
          <w:szCs w:val="22"/>
          <w:lang w:val="en-GB"/>
        </w:rPr>
        <w:t xml:space="preserve"> </w:t>
      </w:r>
    </w:p>
    <w:p>
      <w:pPr>
        <w:pStyle w:val="Normal"/>
        <w:jc w:val="center"/>
        <w:rPr/>
      </w:pPr>
      <w:hyperlink r:id="rId5">
        <w:r>
          <w:rPr>
            <w:rStyle w:val="Internetverknpfung"/>
            <w:sz w:val="22"/>
            <w:szCs w:val="22"/>
            <w:lang w:val="en-GB"/>
          </w:rPr>
          <w:t>www.uni-due.de/mechanika/index_englisch.php</w:t>
        </w:r>
      </w:hyperlink>
      <w:r>
        <w:rPr>
          <w:sz w:val="22"/>
          <w:szCs w:val="22"/>
          <w:lang w:val="en-GB"/>
        </w:rPr>
        <w:t xml:space="preserve"> </w:t>
      </w:r>
    </w:p>
    <w:p>
      <w:pPr>
        <w:pStyle w:val="Normal"/>
        <w:jc w:val="center"/>
        <w:rPr/>
      </w:pPr>
      <w:r>
        <w:rPr>
          <w:sz w:val="22"/>
          <w:szCs w:val="22"/>
          <w:vertAlign w:val="superscript"/>
          <w:lang w:val="en-GB"/>
        </w:rPr>
        <w:t>2</w:t>
      </w:r>
      <w:r>
        <w:rPr>
          <w:sz w:val="22"/>
          <w:szCs w:val="22"/>
          <w:lang w:val="en-GB"/>
        </w:rPr>
        <w:t xml:space="preserve">  Department of Mechanical and Process Engineering, Technical University Kaiserslautern, </w:t>
      </w:r>
    </w:p>
    <w:p>
      <w:pPr>
        <w:pStyle w:val="Normal"/>
        <w:jc w:val="center"/>
        <w:rPr/>
      </w:pPr>
      <w:r>
        <w:rPr>
          <w:sz w:val="22"/>
          <w:szCs w:val="22"/>
          <w:lang w:val="en-GB"/>
        </w:rPr>
        <w:t>Gottlieb-Daimler-Straße 47, 67663 Kaiserslautern, Germany</w:t>
      </w:r>
    </w:p>
    <w:p>
      <w:pPr>
        <w:pStyle w:val="Normal"/>
        <w:jc w:val="center"/>
        <w:rPr/>
      </w:pPr>
      <w:hyperlink r:id="rId6">
        <w:r>
          <w:rPr>
            <w:rStyle w:val="Internetverknpfung"/>
            <w:sz w:val="22"/>
            <w:szCs w:val="22"/>
            <w:lang w:val="en-GB"/>
          </w:rPr>
          <w:t>scheunem@rhrk.uni-kl.de</w:t>
        </w:r>
      </w:hyperlink>
    </w:p>
    <w:p>
      <w:pPr>
        <w:pStyle w:val="Normal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</w:r>
    </w:p>
    <w:p>
      <w:pPr>
        <w:pStyle w:val="TtuloRefCOMNI"/>
        <w:numPr>
          <w:ilvl w:val="0"/>
          <w:numId w:val="0"/>
        </w:numPr>
        <w:spacing w:before="0" w:after="0"/>
        <w:outlineLvl w:val="0"/>
        <w:rPr>
          <w:caps w:val="false"/>
          <w:smallCaps w:val="false"/>
          <w:lang w:val="en-GB"/>
        </w:rPr>
      </w:pPr>
      <w:r>
        <w:rPr>
          <w:caps w:val="false"/>
          <w:smallCaps w:val="false"/>
          <w:lang w:val="en-GB"/>
        </w:rPr>
      </w:r>
    </w:p>
    <w:p>
      <w:pPr>
        <w:pStyle w:val="TtuloRefCOMNI"/>
        <w:numPr>
          <w:ilvl w:val="0"/>
          <w:numId w:val="0"/>
        </w:numPr>
        <w:spacing w:before="0" w:after="0"/>
        <w:outlineLvl w:val="0"/>
        <w:rPr/>
      </w:pPr>
      <w:r>
        <w:rPr>
          <w:caps w:val="false"/>
          <w:smallCaps w:val="false"/>
          <w:lang w:val="en-GB"/>
        </w:rPr>
        <w:t xml:space="preserve">Key Words: </w:t>
      </w:r>
      <w:r>
        <w:rPr>
          <w:b w:val="false"/>
          <w:bCs/>
          <w:i/>
          <w:iCs/>
          <w:caps w:val="false"/>
          <w:smallCaps w:val="false"/>
          <w:lang w:val="en-GB"/>
        </w:rPr>
        <w:t>residual stresses, austenite-to-martensite phase transformation, cooling proce</w:t>
      </w:r>
      <w:r>
        <w:rPr>
          <w:b w:val="false"/>
          <w:bCs/>
          <w:i/>
          <w:iCs/>
          <w:caps w:val="false"/>
          <w:smallCaps w:val="false"/>
          <w:lang w:val="en-GB"/>
        </w:rPr>
        <w:t>s</w:t>
      </w:r>
      <w:r>
        <w:rPr>
          <w:b w:val="false"/>
          <w:bCs/>
          <w:i/>
          <w:iCs/>
          <w:caps w:val="false"/>
          <w:smallCaps w:val="false"/>
          <w:lang w:val="en-GB"/>
        </w:rPr>
        <w:t>s, FE simulations</w:t>
      </w:r>
    </w:p>
    <w:p>
      <w:pPr>
        <w:pStyle w:val="TtuloRefCOMNI"/>
        <w:numPr>
          <w:ilvl w:val="0"/>
          <w:numId w:val="0"/>
        </w:numPr>
        <w:spacing w:before="0" w:after="0"/>
        <w:outlineLvl w:val="0"/>
        <w:rPr>
          <w:b w:val="false"/>
          <w:b w:val="false"/>
          <w:bCs/>
          <w:i/>
          <w:i/>
          <w:iCs/>
          <w:caps w:val="false"/>
          <w:smallCaps w:val="false"/>
          <w:lang w:val="en-GB"/>
        </w:rPr>
      </w:pPr>
      <w:r>
        <w:rPr>
          <w:b w:val="false"/>
          <w:bCs/>
          <w:i/>
          <w:iCs/>
          <w:caps w:val="false"/>
          <w:smallCaps w:val="false"/>
          <w:lang w:val="en-GB"/>
        </w:rPr>
      </w:r>
    </w:p>
    <w:p>
      <w:pPr>
        <w:pStyle w:val="Textkrper"/>
        <w:spacing w:lineRule="atLeast" w:line="240"/>
        <w:rPr/>
      </w:pPr>
      <w:r>
        <w:rPr>
          <w:sz w:val="24"/>
          <w:lang w:val="en-GB"/>
        </w:rPr>
        <w:t xml:space="preserve">Current research focuses on the induction of targeted residual stresses during the manufacturing process of a component in order to improve its properties in </w:t>
      </w:r>
      <w:r>
        <w:rPr>
          <w:sz w:val="24"/>
          <w:lang w:val="en-GB"/>
        </w:rPr>
        <w:t xml:space="preserve">a </w:t>
      </w:r>
      <w:r>
        <w:rPr>
          <w:sz w:val="24"/>
          <w:lang w:val="en-GB"/>
        </w:rPr>
        <w:t>desired manner.  Instead of minimizing residual stresses after forming for instance by heat treatment, the idea is to define stress states which are favourable regarding e.g. servi</w:t>
      </w:r>
      <w:r>
        <w:rPr>
          <w:sz w:val="24"/>
          <w:lang w:val="en-GB"/>
        </w:rPr>
        <w:t>c</w:t>
      </w:r>
      <w:r>
        <w:rPr>
          <w:sz w:val="24"/>
          <w:lang w:val="en-GB"/>
        </w:rPr>
        <w:t>e life or wear resistance. Ther</w:t>
      </w:r>
      <w:r>
        <w:rPr>
          <w:sz w:val="24"/>
          <w:lang w:val="en-GB"/>
        </w:rPr>
        <w:t>e</w:t>
      </w:r>
      <w:r>
        <w:rPr>
          <w:sz w:val="24"/>
          <w:lang w:val="en-GB"/>
        </w:rPr>
        <w:t>fore, hot bulk forming processes are investigated which allow the utilization of several interactions, for example of mechanical, thermal and metallurgical kind. During forming and cooling of a component, residual stresses arise especially due to the phase transformation from an initially austenitic state. Fast cooling in water or</w:t>
      </w:r>
      <w:bookmarkStart w:id="0" w:name="__DdeLink__58_1951097695"/>
      <w:r>
        <w:rPr>
          <w:sz w:val="24"/>
          <w:lang w:val="en-GB"/>
        </w:rPr>
        <w:t xml:space="preserve"> with a spray results</w:t>
      </w:r>
      <w:bookmarkEnd w:id="0"/>
      <w:r>
        <w:rPr>
          <w:sz w:val="24"/>
          <w:lang w:val="en-GB"/>
        </w:rPr>
        <w:t xml:space="preserve"> in a diffusionless phase transformation to martensite, cf. [1]. </w:t>
      </w:r>
    </w:p>
    <w:p>
      <w:pPr>
        <w:pStyle w:val="Textkrper"/>
        <w:spacing w:lineRule="atLeast" w:line="240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Textkrper"/>
        <w:spacing w:lineRule="atLeast" w:line="240"/>
        <w:rPr/>
      </w:pPr>
      <w:r>
        <w:rPr>
          <w:sz w:val="24"/>
          <w:lang w:val="en-GB"/>
        </w:rPr>
        <w:t>There are different numerical approaches to take into account this microscopic phenomena, e.g. one can resolve the microscale in terms of multi-scale Finite Element simulations, see [2]. However, in order to reduce numerical costs, phenomenological single-scale approaches are favourable, see [3]. Thus, in this contribution a phenomenological approach to investigate the cooling of a cylindrical specimen with eccentric hole is presented. The</w:t>
      </w:r>
      <w:r>
        <w:rPr>
          <w:sz w:val="24"/>
          <w:lang w:val="en-GB"/>
        </w:rPr>
        <w:t>re</w:t>
      </w:r>
      <w:r>
        <w:rPr>
          <w:sz w:val="24"/>
          <w:lang w:val="en-GB"/>
        </w:rPr>
        <w:t xml:space="preserve">fore, a thermo-elasto-plastic material model in the linearized framework is implemented into the Finite Element Analysis Programm FEAP, see [4]. </w:t>
      </w:r>
      <w:r>
        <w:rPr>
          <w:sz w:val="24"/>
          <w:lang w:val="en-GB"/>
        </w:rPr>
        <w:t>Numerical</w:t>
      </w:r>
      <w:r>
        <w:rPr>
          <w:sz w:val="24"/>
          <w:lang w:val="en-GB"/>
        </w:rPr>
        <w:t xml:space="preserve"> results are shown and discussed in comparison to experimental data. </w:t>
      </w:r>
    </w:p>
    <w:p>
      <w:pPr>
        <w:pStyle w:val="Textkrper"/>
        <w:spacing w:lineRule="atLeast" w:line="240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Textkrper"/>
        <w:spacing w:lineRule="atLeast" w:line="240" w:before="240" w:after="120"/>
        <w:rPr/>
      </w:pPr>
      <w:r>
        <w:rPr>
          <w:b/>
          <w:sz w:val="24"/>
          <w:lang w:val="es-ES"/>
        </w:rPr>
        <w:t>REFERENCES</w:t>
      </w:r>
    </w:p>
    <w:p>
      <w:pPr>
        <w:pStyle w:val="Textkrper"/>
        <w:numPr>
          <w:ilvl w:val="0"/>
          <w:numId w:val="1"/>
        </w:numPr>
        <w:spacing w:lineRule="atLeast" w:line="240"/>
        <w:rPr/>
      </w:pPr>
      <w:r>
        <w:rPr>
          <w:sz w:val="24"/>
          <w:lang w:val="en-GB"/>
        </w:rPr>
        <w:t xml:space="preserve">S. Uebing, D. Brands, L. Scheunemann and J. Schröder, Residual stresses in hot bulk formed parts – two-scale approach for austenite-to-martensite phase transformation, </w:t>
      </w:r>
      <w:r>
        <w:rPr>
          <w:i/>
          <w:iCs/>
          <w:sz w:val="24"/>
          <w:lang w:val="en-GB"/>
        </w:rPr>
        <w:t>Arch. of. Appl. Mech</w:t>
      </w:r>
      <w:r>
        <w:rPr>
          <w:sz w:val="24"/>
          <w:lang w:val="en-GB"/>
        </w:rPr>
        <w:t xml:space="preserve">., 2021. </w:t>
      </w:r>
    </w:p>
    <w:p>
      <w:pPr>
        <w:pStyle w:val="Textkrper"/>
        <w:numPr>
          <w:ilvl w:val="0"/>
          <w:numId w:val="1"/>
        </w:numPr>
        <w:spacing w:lineRule="atLeast" w:line="240"/>
        <w:rPr/>
      </w:pPr>
      <w:r>
        <w:rPr>
          <w:sz w:val="24"/>
          <w:szCs w:val="24"/>
        </w:rPr>
        <w:t xml:space="preserve">J. Schröder, </w:t>
      </w:r>
      <w:r>
        <w:rPr>
          <w:i/>
          <w:iCs/>
          <w:sz w:val="24"/>
          <w:szCs w:val="24"/>
        </w:rPr>
        <w:t xml:space="preserve">Plasticity and Beyond – Microstructures, Crystal Plasticity and Phase Transitions, </w:t>
      </w:r>
      <w:r>
        <w:rPr>
          <w:i w:val="false"/>
          <w:iCs w:val="false"/>
          <w:sz w:val="24"/>
          <w:szCs w:val="24"/>
        </w:rPr>
        <w:t>CISM Lecture</w:t>
      </w:r>
      <w:r>
        <w:rPr>
          <w:i/>
          <w:iCs/>
          <w:sz w:val="24"/>
          <w:szCs w:val="24"/>
        </w:rPr>
        <w:t xml:space="preserve"> </w:t>
      </w:r>
      <w:r>
        <w:rPr>
          <w:i w:val="false"/>
          <w:iCs w:val="false"/>
          <w:sz w:val="24"/>
          <w:szCs w:val="24"/>
        </w:rPr>
        <w:t>Notes 550, Eds. J. Schröder, K. Hackl, chapter A numerical two-scale homogenization scheme: the FE</w:t>
      </w:r>
      <w:r>
        <w:rPr>
          <w:i w:val="false"/>
          <w:iCs w:val="false"/>
          <w:sz w:val="24"/>
          <w:szCs w:val="24"/>
          <w:vertAlign w:val="superscript"/>
        </w:rPr>
        <w:t>2</w:t>
      </w:r>
      <w:r>
        <w:rPr>
          <w:i w:val="false"/>
          <w:iCs w:val="false"/>
          <w:sz w:val="24"/>
          <w:szCs w:val="24"/>
        </w:rPr>
        <w:t>-method,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1-64, (2014).</w:t>
      </w:r>
    </w:p>
    <w:p>
      <w:pPr>
        <w:pStyle w:val="Textkrper"/>
        <w:numPr>
          <w:ilvl w:val="0"/>
          <w:numId w:val="1"/>
        </w:numPr>
        <w:spacing w:lineRule="atLeast" w:line="240"/>
        <w:rPr/>
      </w:pPr>
      <w:r>
        <w:rPr>
          <w:b w:val="false"/>
          <w:bCs w:val="false"/>
          <w:i w:val="false"/>
          <w:iCs w:val="false"/>
          <w:sz w:val="24"/>
          <w:szCs w:val="24"/>
          <w:lang w:val="en-GB"/>
        </w:rPr>
        <w:t xml:space="preserve">S. Uebing, D. Brands, L. Scheunemann, C. Kock, H. Wester, B.-A. Behrens and J. Schröder, Residual Stresses in Hot Bulk Formed Parts – A Phenomenological Approach for the Austenite-to-Martensite Phase Transformation, </w:t>
      </w:r>
      <w:r>
        <w:rPr>
          <w:b w:val="false"/>
          <w:bCs w:val="false"/>
          <w:i/>
          <w:iCs/>
          <w:sz w:val="24"/>
          <w:szCs w:val="24"/>
          <w:lang w:val="en-GB"/>
        </w:rPr>
        <w:t>13th ICTP</w:t>
      </w:r>
      <w:r>
        <w:rPr>
          <w:b w:val="false"/>
          <w:bCs w:val="false"/>
          <w:i w:val="false"/>
          <w:iCs w:val="false"/>
          <w:sz w:val="24"/>
          <w:szCs w:val="24"/>
          <w:lang w:val="en-GB"/>
        </w:rPr>
        <w:t>, 2021.</w:t>
      </w:r>
    </w:p>
    <w:p>
      <w:pPr>
        <w:pStyle w:val="Textkrper"/>
        <w:numPr>
          <w:ilvl w:val="0"/>
          <w:numId w:val="1"/>
        </w:numPr>
        <w:spacing w:lineRule="atLeast" w:line="240"/>
        <w:ind w:left="426" w:hanging="442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R.L. Taylor, FEAP - A finite element analysis program, Version 8.2, 2011. </w:t>
      </w:r>
    </w:p>
    <w:sectPr>
      <w:headerReference w:type="default" r:id="rId7"/>
      <w:headerReference w:type="first" r:id="rId8"/>
      <w:footerReference w:type="default" r:id="rId9"/>
      <w:type w:val="nextPage"/>
      <w:pgSz w:w="11906" w:h="16838"/>
      <w:pgMar w:left="1418" w:right="1418" w:header="709" w:top="1357" w:footer="1134" w:bottom="170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largest"/>
              <wp:docPr id="1" name="Rahm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uzeile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hmen1" stroked="f" style="position:absolute;margin-left:0pt;margin-top:0.05pt;width:1.15pt;height:1.1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uzeile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2WCCM"/>
      <w:rPr/>
    </w:pPr>
    <w:r>
      <w:rPr/>
      <w:t>First A. Author, Second B. Author and Third C. Coauthor.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sz w:val="16"/>
        <w:szCs w:val="16"/>
        <w:lang w:val="en-GB"/>
      </w:rPr>
    </w:pPr>
    <w:r>
      <w:rPr>
        <w:sz w:val="16"/>
        <w:szCs w:val="16"/>
        <w:lang w:val="en-GB"/>
      </w:rPr>
      <w:t>The 8th European Congress on Computational Methods in Applied Sciences and Engineering</w:t>
    </w:r>
  </w:p>
  <w:p>
    <w:pPr>
      <w:pStyle w:val="Normal"/>
      <w:jc w:val="right"/>
      <w:rPr>
        <w:sz w:val="16"/>
        <w:szCs w:val="16"/>
        <w:lang w:val="en-GB"/>
      </w:rPr>
    </w:pPr>
    <w:r>
      <w:rPr>
        <w:bCs/>
        <w:sz w:val="16"/>
        <w:szCs w:val="16"/>
        <w:lang w:val="en-GB"/>
      </w:rPr>
      <w:t>ECCOMAS Congress 2022</w:t>
    </w:r>
  </w:p>
  <w:p>
    <w:pPr>
      <w:pStyle w:val="Kopfzeile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 – 9 June 2022, Oslo, Norway</w:t>
    </w:r>
  </w:p>
  <w:p>
    <w:pPr>
      <w:pStyle w:val="Kopfzeile"/>
      <w:jc w:val="right"/>
      <w:rPr>
        <w:bCs/>
        <w:sz w:val="18"/>
        <w:szCs w:val="18"/>
        <w:lang w:val="en-GB"/>
      </w:rPr>
    </w:pPr>
    <w:r>
      <w:rPr>
        <w:bCs/>
        <w:sz w:val="18"/>
        <w:szCs w:val="18"/>
        <w:lang w:val="en-GB"/>
      </w:rPr>
    </w:r>
  </w:p>
  <w:p>
    <w:pPr>
      <w:pStyle w:val="Kopfzeile"/>
      <w:jc w:val="right"/>
      <w:rPr>
        <w:bCs/>
        <w:sz w:val="18"/>
        <w:szCs w:val="18"/>
        <w:lang w:val="en-GB"/>
      </w:rPr>
    </w:pPr>
    <w:r>
      <w:rPr>
        <w:bCs/>
        <w:sz w:val="18"/>
        <w:szCs w:val="18"/>
        <w:lang w:val="en-GB"/>
      </w:rPr>
    </w:r>
  </w:p>
  <w:p>
    <w:pPr>
      <w:pStyle w:val="Kopfzeile"/>
      <w:rPr>
        <w:bCs/>
        <w:color w:val="FF0000"/>
        <w:sz w:val="18"/>
        <w:szCs w:val="18"/>
        <w:lang w:val="en-GB"/>
      </w:rPr>
    </w:pPr>
    <w:r>
      <w:rPr>
        <w:bCs/>
        <w:color w:val="FF0000"/>
        <w:sz w:val="18"/>
        <w:szCs w:val="18"/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sz w:val="24"/>
        <w:i w:val="false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Berschrift1">
    <w:name w:val="Heading 1"/>
    <w:basedOn w:val="Normal"/>
    <w:next w:val="Normal"/>
    <w:link w:val="Ttulo1Car"/>
    <w:qFormat/>
    <w:rsid w:val="00577d1c"/>
    <w:pPr>
      <w:keepNext w:val="true"/>
      <w:widowControl w:val="false"/>
      <w:spacing w:before="0"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nanker">
    <w:name w:val="Endnotenanker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character" w:styleId="Internetverknpfung">
    <w:name w:val="Internetverknüpfung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Pagenumber">
    <w:name w:val="page number"/>
    <w:basedOn w:val="DefaultParagraphFont"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d1526d"/>
    <w:rPr>
      <w:sz w:val="22"/>
      <w:lang w:val="es-ES_tradnl"/>
    </w:rPr>
  </w:style>
  <w:style w:type="character" w:styleId="Ttulo1Car" w:customStyle="1">
    <w:name w:val="Título 1 Car"/>
    <w:basedOn w:val="DefaultParagraphFont"/>
    <w:link w:val="Ttulo1"/>
    <w:qFormat/>
    <w:rsid w:val="00577d1c"/>
    <w:rPr>
      <w:b/>
      <w:spacing w:val="4"/>
      <w:sz w:val="22"/>
      <w:lang w:val="en-GB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b w:val="false"/>
      <w:i w:val="false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sz w:val="24"/>
      <w:lang w:val="it-IT"/>
    </w:rPr>
  </w:style>
  <w:style w:type="character" w:styleId="Nummerierungszeichen">
    <w:name w:val="Nummerierungszeichen"/>
    <w:qFormat/>
    <w:rPr/>
  </w:style>
  <w:style w:type="character" w:styleId="ListLabel11">
    <w:name w:val="ListLabel 11"/>
    <w:qFormat/>
    <w:rPr>
      <w:b w:val="false"/>
      <w:i w:val="false"/>
      <w:sz w:val="24"/>
    </w:rPr>
  </w:style>
  <w:style w:type="character" w:styleId="ListLabel12">
    <w:name w:val="ListLabel 12"/>
    <w:qFormat/>
    <w:rPr>
      <w:sz w:val="22"/>
      <w:szCs w:val="22"/>
      <w:lang w:val="en-GB"/>
    </w:rPr>
  </w:style>
  <w:style w:type="character" w:styleId="ListLabel13">
    <w:name w:val="ListLabel 13"/>
    <w:qFormat/>
    <w:rPr>
      <w:b w:val="false"/>
      <w:i w:val="false"/>
      <w:sz w:val="24"/>
    </w:rPr>
  </w:style>
  <w:style w:type="character" w:styleId="ListLabel14">
    <w:name w:val="ListLabel 14"/>
    <w:qFormat/>
    <w:rPr>
      <w:sz w:val="22"/>
      <w:szCs w:val="22"/>
      <w:lang w:val="en-GB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krper">
    <w:name w:val="Body Text"/>
    <w:basedOn w:val="Normal"/>
    <w:link w:val="TextoindependienteCar"/>
    <w:pPr>
      <w:widowControl w:val="false"/>
      <w:jc w:val="both"/>
    </w:pPr>
    <w:rPr>
      <w:sz w:val="22"/>
      <w:szCs w:val="20"/>
      <w:lang w:val="es-ES_tradnl"/>
    </w:rPr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RefTitleWCCM" w:customStyle="1">
    <w:name w:val="Ref Title WCCM"/>
    <w:basedOn w:val="1stTitleWCCM"/>
    <w:qFormat/>
    <w:pPr/>
    <w:rPr/>
  </w:style>
  <w:style w:type="paragraph" w:styleId="1stTitleWCCM" w:customStyle="1">
    <w:name w:val="1st Title WCCM"/>
    <w:basedOn w:val="NormalWCCM"/>
    <w:qFormat/>
    <w:pPr>
      <w:keepNext w:val="true"/>
      <w:keepLines/>
      <w:tabs>
        <w:tab w:val="left" w:pos="360" w:leader="none"/>
      </w:tabs>
      <w:spacing w:before="240" w:after="120"/>
      <w:ind w:hanging="0"/>
      <w:jc w:val="left"/>
    </w:pPr>
    <w:rPr>
      <w:b/>
      <w:bCs/>
      <w:caps/>
    </w:rPr>
  </w:style>
  <w:style w:type="paragraph" w:styleId="NormalWCCM" w:customStyle="1">
    <w:name w:val="Normal WCCM"/>
    <w:qFormat/>
    <w:pPr>
      <w:widowControl w:val="false"/>
      <w:bidi w:val="0"/>
      <w:ind w:firstLine="284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s-ES" w:bidi="ar-SA"/>
    </w:rPr>
  </w:style>
  <w:style w:type="paragraph" w:styleId="2ndTitleWCCM" w:customStyle="1">
    <w:name w:val="2nd Title WCCM"/>
    <w:basedOn w:val="NormalWCCM"/>
    <w:qFormat/>
    <w:pPr>
      <w:keepNext w:val="true"/>
      <w:keepLines/>
      <w:tabs>
        <w:tab w:val="left" w:pos="426" w:leader="none"/>
        <w:tab w:val="left" w:pos="720" w:leader="none"/>
      </w:tabs>
      <w:spacing w:before="240" w:after="120"/>
      <w:ind w:hanging="0"/>
      <w:jc w:val="left"/>
    </w:pPr>
    <w:rPr>
      <w:b/>
      <w:bCs/>
    </w:rPr>
  </w:style>
  <w:style w:type="paragraph" w:styleId="PaperTitleWCCM" w:customStyle="1">
    <w:name w:val="Paper Title WCCM"/>
    <w:basedOn w:val="NormalWCCM"/>
    <w:qFormat/>
    <w:pPr>
      <w:spacing w:before="0" w:after="240"/>
      <w:ind w:hanging="0"/>
    </w:pPr>
    <w:rPr>
      <w:b/>
      <w:bCs/>
      <w:caps/>
      <w:sz w:val="28"/>
      <w:szCs w:val="28"/>
    </w:rPr>
  </w:style>
  <w:style w:type="paragraph" w:styleId="LiteWCCM" w:customStyle="1">
    <w:name w:val="Lite WCCM"/>
    <w:basedOn w:val="NormalWCCM"/>
    <w:qFormat/>
    <w:pPr>
      <w:tabs>
        <w:tab w:val="left" w:pos="142" w:leader="none"/>
      </w:tabs>
      <w:ind w:hanging="0"/>
      <w:jc w:val="center"/>
    </w:pPr>
    <w:rPr>
      <w:sz w:val="22"/>
      <w:szCs w:val="22"/>
    </w:rPr>
  </w:style>
  <w:style w:type="paragraph" w:styleId="AbstractWCCM" w:customStyle="1">
    <w:name w:val="Abstract WCCM"/>
    <w:basedOn w:val="NormalWCCM"/>
    <w:qFormat/>
    <w:pPr>
      <w:ind w:left="708" w:hanging="0"/>
    </w:pPr>
    <w:rPr/>
  </w:style>
  <w:style w:type="paragraph" w:styleId="Header1WCCM" w:customStyle="1">
    <w:name w:val="Header 1 WCCM"/>
    <w:qFormat/>
    <w:pPr>
      <w:widowControl w:val="false"/>
      <w:bidi w:val="0"/>
      <w:jc w:val="right"/>
    </w:pPr>
    <w:rPr>
      <w:rFonts w:ascii="Times New Roman" w:hAnsi="Times New Roman" w:eastAsia="Times New Roman" w:cs="Times New Roman"/>
      <w:color w:val="auto"/>
      <w:kern w:val="0"/>
      <w:sz w:val="16"/>
      <w:szCs w:val="16"/>
      <w:lang w:val="en-US" w:eastAsia="es-ES" w:bidi="ar-SA"/>
    </w:rPr>
  </w:style>
  <w:style w:type="paragraph" w:styleId="Header2WCCM" w:customStyle="1">
    <w:name w:val="Header 2 WCCM"/>
    <w:basedOn w:val="Header1WCCM"/>
    <w:qFormat/>
    <w:pPr>
      <w:pBdr>
        <w:bottom w:val="single" w:sz="6" w:space="1" w:color="000000"/>
      </w:pBdr>
      <w:ind w:right="-1" w:hanging="0"/>
      <w:jc w:val="center"/>
    </w:pPr>
    <w:rPr>
      <w:sz w:val="20"/>
      <w:szCs w:val="20"/>
    </w:rPr>
  </w:style>
  <w:style w:type="paragraph" w:styleId="PgNumberWCCM" w:customStyle="1">
    <w:name w:val="Pg Number WCCM"/>
    <w:basedOn w:val="NormalWCCM"/>
    <w:qFormat/>
    <w:pPr>
      <w:jc w:val="center"/>
    </w:pPr>
    <w:rPr/>
  </w:style>
  <w:style w:type="paragraph" w:styleId="ReferenceWCCM" w:customStyle="1">
    <w:name w:val="Reference WCCM"/>
    <w:basedOn w:val="NormalWCCM"/>
    <w:qFormat/>
    <w:pPr>
      <w:tabs>
        <w:tab w:val="left" w:pos="426" w:leader="none"/>
      </w:tabs>
      <w:ind w:left="426" w:hanging="426"/>
      <w:jc w:val="left"/>
    </w:pPr>
    <w:rPr/>
  </w:style>
  <w:style w:type="paragraph" w:styleId="FigureWCCM" w:customStyle="1">
    <w:name w:val="Figure WCCM"/>
    <w:qFormat/>
    <w:pPr>
      <w:widowControl w:val="false"/>
      <w:bidi w:val="0"/>
      <w:spacing w:before="0" w:after="24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s-ES" w:bidi="ar-SA"/>
    </w:rPr>
  </w:style>
  <w:style w:type="paragraph" w:styleId="FiliacinCOMNI" w:customStyle="1">
    <w:name w:val="Filiación.COMNI"/>
    <w:basedOn w:val="Normal"/>
    <w:qFormat/>
    <w:pPr>
      <w:widowControl w:val="false"/>
      <w:tabs>
        <w:tab w:val="left" w:pos="142" w:leader="none"/>
      </w:tabs>
      <w:jc w:val="center"/>
    </w:pPr>
    <w:rPr>
      <w:strike/>
      <w:sz w:val="22"/>
      <w:szCs w:val="22"/>
      <w:lang w:val="es-ES_tradnl"/>
    </w:rPr>
  </w:style>
  <w:style w:type="paragraph" w:styleId="PieFigoTablaCOMNI" w:customStyle="1">
    <w:name w:val="Pie Fig. o Tabla. COMNI"/>
    <w:basedOn w:val="Normal"/>
    <w:qFormat/>
    <w:pPr>
      <w:widowControl w:val="false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Kopfzeile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Fuzeile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eferenciaCOMNI" w:customStyle="1">
    <w:name w:val="Referencia. COMNI"/>
    <w:basedOn w:val="Normal"/>
    <w:qFormat/>
    <w:pPr>
      <w:widowControl w:val="false"/>
      <w:tabs>
        <w:tab w:val="left" w:pos="426" w:leader="none"/>
      </w:tabs>
      <w:ind w:left="425" w:hanging="425"/>
      <w:jc w:val="both"/>
    </w:pPr>
    <w:rPr>
      <w:szCs w:val="20"/>
      <w:lang w:val="es-ES_tradnl"/>
    </w:rPr>
  </w:style>
  <w:style w:type="paragraph" w:styleId="BalloonText">
    <w:name w:val="Balloon Text"/>
    <w:basedOn w:val="Normal"/>
    <w:semiHidden/>
    <w:qFormat/>
    <w:rsid w:val="00555774"/>
    <w:pPr/>
    <w:rPr>
      <w:rFonts w:ascii="Tahoma" w:hAnsi="Tahoma" w:cs="Tahoma"/>
      <w:sz w:val="16"/>
      <w:szCs w:val="16"/>
    </w:rPr>
  </w:style>
  <w:style w:type="paragraph" w:styleId="TtuloRefCOMNI" w:customStyle="1">
    <w:name w:val="Título Ref. COMNI"/>
    <w:basedOn w:val="Normal"/>
    <w:qFormat/>
    <w:rsid w:val="00577d1c"/>
    <w:pPr>
      <w:keepNext w:val="true"/>
      <w:keepLines/>
      <w:widowControl w:val="false"/>
      <w:spacing w:before="240" w:after="120"/>
    </w:pPr>
    <w:rPr>
      <w:b/>
      <w:caps/>
      <w:szCs w:val="20"/>
      <w:lang w:val="es-ES_tradnl"/>
    </w:rPr>
  </w:style>
  <w:style w:type="paragraph" w:styleId="TtuloArtCOMNI" w:customStyle="1">
    <w:name w:val="Título Art. COMNI"/>
    <w:basedOn w:val="Normal"/>
    <w:qFormat/>
    <w:rsid w:val="00577d1c"/>
    <w:pPr>
      <w:widowControl w:val="false"/>
      <w:spacing w:before="0" w:after="240"/>
      <w:jc w:val="center"/>
    </w:pPr>
    <w:rPr>
      <w:b/>
      <w:sz w:val="28"/>
      <w:szCs w:val="20"/>
      <w:lang w:val="es-ES_tradnl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nja.hellebrand@uni-due.de" TargetMode="External"/><Relationship Id="rId3" Type="http://schemas.openxmlformats.org/officeDocument/2006/relationships/hyperlink" Target="mailto:dominik.brands@uni-due.de" TargetMode="External"/><Relationship Id="rId4" Type="http://schemas.openxmlformats.org/officeDocument/2006/relationships/hyperlink" Target="mailto:j.schroeder@uni-due.de" TargetMode="External"/><Relationship Id="rId5" Type="http://schemas.openxmlformats.org/officeDocument/2006/relationships/hyperlink" Target="http://www.uni-due.de/mechanika/index_englisch.php" TargetMode="External"/><Relationship Id="rId6" Type="http://schemas.openxmlformats.org/officeDocument/2006/relationships/hyperlink" Target="mailto:scheunem@rhrk.uni-kl.d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LibreOffice/6.0.5.2$Linux_X86_64 LibreOffice_project/00m0$Build-2</Application>
  <Pages>1</Pages>
  <Words>419</Words>
  <Characters>2676</Characters>
  <CharactersWithSpaces>3078</CharactersWithSpaces>
  <Paragraphs>22</Paragraphs>
  <Company>CIMNE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2019-12-09T12:37:00Z</dcterms:created>
  <dc:creator>forace</dc:creator>
  <dc:description/>
  <dc:language>de-DE</dc:language>
  <cp:lastModifiedBy/>
  <cp:lastPrinted>2013-02-28T13:08:00Z</cp:lastPrinted>
  <dcterms:modified xsi:type="dcterms:W3CDTF">2021-12-07T10:00:51Z</dcterms:modified>
  <cp:revision>6</cp:revision>
  <dc:subject/>
  <dc:title>INSTRUCTIONS TO PREPARE A PAPER FOR THE EUROPEAN CONGRESS ON COMPUTATIONAL METHODS IN APPLIED SCIENCES AND ENGINEERING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CIMNE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