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ArtCOMNI"/>
        <w:widowControl/>
        <w:spacing w:lineRule="atLeast" w:line="120" w:before="0" w:after="0"/>
        <w:rPr>
          <w:lang w:val="en-GB"/>
        </w:rPr>
      </w:pPr>
      <w:r>
        <w:rPr>
          <w:lang w:val="en-GB"/>
        </w:rPr>
        <w:t>APPLICATION OF INTERFACE CAPTURING SCHEMES ON MULTIPHASE/MULTICOMPONENT COMPRESSIBLE FLOW OF UNDERWATER EXPLOSION</w:t>
      </w:r>
    </w:p>
    <w:p>
      <w:pPr>
        <w:pStyle w:val="TtuloArtCOMNI"/>
        <w:widowControl/>
        <w:spacing w:lineRule="atLeast" w:line="120" w:before="0" w:after="0"/>
        <w:rPr>
          <w:lang w:val="en-GB"/>
        </w:rPr>
      </w:pPr>
      <w:r>
        <w:rPr>
          <w:lang w:val="en-GB"/>
        </w:rPr>
      </w:r>
    </w:p>
    <w:p>
      <w:pPr>
        <w:pStyle w:val="Heading1"/>
        <w:widowControl/>
        <w:spacing w:lineRule="atLeast" w:line="120"/>
        <w:rPr>
          <w:spacing w:val="0"/>
          <w:sz w:val="24"/>
        </w:rPr>
      </w:pPr>
      <w:r>
        <w:rPr>
          <w:spacing w:val="0"/>
          <w:sz w:val="24"/>
        </w:rPr>
        <w:t>E.M Adebayo,</w:t>
      </w:r>
      <w:r>
        <w:rPr>
          <w:spacing w:val="0"/>
          <w:sz w:val="24"/>
          <w:vertAlign w:val="superscript"/>
        </w:rPr>
        <w:t>1</w:t>
      </w:r>
      <w:r>
        <w:rPr>
          <w:spacing w:val="0"/>
          <w:sz w:val="24"/>
        </w:rPr>
        <w:t xml:space="preserve"> P. Tsoutsanis</w:t>
      </w:r>
      <w:r>
        <w:rPr>
          <w:spacing w:val="0"/>
          <w:sz w:val="24"/>
          <w:vertAlign w:val="superscript"/>
        </w:rPr>
        <w:t>1</w:t>
      </w:r>
      <w:r>
        <w:rPr>
          <w:spacing w:val="0"/>
          <w:sz w:val="24"/>
        </w:rPr>
        <w:t>, and K.W. Jenkins</w:t>
      </w:r>
      <w:r>
        <w:rPr>
          <w:spacing w:val="0"/>
          <w:sz w:val="24"/>
          <w:vertAlign w:val="superscript"/>
        </w:rPr>
        <w:t>1</w:t>
      </w:r>
    </w:p>
    <w:p>
      <w:pPr>
        <w:pStyle w:val="Normal"/>
        <w:jc w:val="center"/>
        <w:rPr/>
      </w:pPr>
      <w:r>
        <w:rPr>
          <w:sz w:val="22"/>
          <w:szCs w:val="22"/>
          <w:vertAlign w:val="superscript"/>
          <w:lang w:val="en-GB"/>
        </w:rPr>
        <w:t>1</w:t>
      </w:r>
      <w:r>
        <w:rPr>
          <w:sz w:val="22"/>
          <w:szCs w:val="22"/>
          <w:lang w:val="en-GB"/>
        </w:rPr>
        <w:t xml:space="preserve"> </w:t>
      </w:r>
      <w:r>
        <w:rPr>
          <w:lang w:val="en-GB"/>
        </w:rPr>
        <w:t xml:space="preserve">Centre for Computational Engineering Sciences, Cranfield University, Cranfield MK43 0AL, United Kingdom, </w:t>
      </w:r>
    </w:p>
    <w:p>
      <w:pPr>
        <w:pStyle w:val="Normal"/>
        <w:jc w:val="center"/>
        <w:rPr/>
      </w:pPr>
      <w:hyperlink r:id="rId2">
        <w:r>
          <w:rPr>
            <w:rStyle w:val="InternetLink"/>
          </w:rPr>
          <w:t>e.adebayo@cranfield.ac.uk</w:t>
        </w:r>
      </w:hyperlink>
      <w:r>
        <w:rPr/>
        <w:t xml:space="preserve">, </w:t>
      </w:r>
      <w:hyperlink r:id="rId3">
        <w:r>
          <w:rPr>
            <w:rStyle w:val="InternetLink"/>
          </w:rPr>
          <w:t>panagiotis.tsoutsanis@cranfield.ac.uk</w:t>
        </w:r>
      </w:hyperlink>
      <w:r>
        <w:rPr/>
        <w:t xml:space="preserve">,  </w:t>
      </w:r>
      <w:hyperlink r:id="rId4">
        <w:r>
          <w:rPr>
            <w:rStyle w:val="InternetLink"/>
          </w:rPr>
          <w:t>k.w.jenkins@cranfield.ac.uk</w:t>
        </w:r>
      </w:hyperlink>
      <w:r>
        <w:rPr/>
        <w:t>.</w:t>
      </w:r>
    </w:p>
    <w:p>
      <w:pPr>
        <w:pStyle w:val="TtuloRefCOMNI"/>
        <w:numPr>
          <w:ilvl w:val="0"/>
          <w:numId w:val="0"/>
        </w:numPr>
        <w:spacing w:before="0" w:after="0"/>
        <w:outlineLvl w:val="0"/>
        <w:rPr>
          <w:b w:val="false"/>
          <w:b w:val="false"/>
          <w:bCs/>
          <w:i/>
          <w:i/>
          <w:iCs/>
          <w:caps w:val="false"/>
          <w:smallCaps w:val="false"/>
          <w:lang w:val="en-GB"/>
        </w:rPr>
      </w:pPr>
      <w:r>
        <w:rPr>
          <w:caps w:val="false"/>
          <w:smallCaps w:val="false"/>
          <w:lang w:val="en-GB"/>
        </w:rPr>
        <w:t xml:space="preserve">Key Words: </w:t>
      </w:r>
      <w:r>
        <w:rPr>
          <w:b w:val="false"/>
          <w:bCs w:val="false"/>
          <w:i/>
          <w:iCs/>
          <w:caps w:val="false"/>
          <w:smallCaps w:val="false"/>
          <w:lang w:val="en-GB"/>
        </w:rPr>
        <w:t>Un</w:t>
      </w:r>
      <w:r>
        <w:rPr>
          <w:b w:val="false"/>
          <w:bCs/>
          <w:i/>
          <w:iCs/>
          <w:caps w:val="false"/>
          <w:smallCaps w:val="false"/>
          <w:lang w:val="en-GB"/>
        </w:rPr>
        <w:t>derwater explosion, Cavitation, CWENO Diffuse-interface method.</w:t>
      </w:r>
    </w:p>
    <w:p>
      <w:pPr>
        <w:pStyle w:val="TtuloRefCOMNI"/>
        <w:numPr>
          <w:ilvl w:val="0"/>
          <w:numId w:val="0"/>
        </w:numPr>
        <w:spacing w:before="0" w:after="0"/>
        <w:outlineLvl w:val="0"/>
        <w:rPr>
          <w:b w:val="false"/>
          <w:b w:val="false"/>
          <w:bCs/>
          <w:i/>
          <w:i/>
          <w:iCs/>
          <w:caps w:val="false"/>
          <w:smallCaps w:val="false"/>
          <w:lang w:val="en-GB"/>
        </w:rPr>
      </w:pPr>
      <w:r>
        <w:rPr>
          <w:b w:val="false"/>
          <w:bCs/>
          <w:i/>
          <w:iCs/>
          <w:caps w:val="false"/>
          <w:smallCaps w:val="false"/>
          <w:lang w:val="en-GB"/>
        </w:rPr>
      </w:r>
    </w:p>
    <w:p>
      <w:pPr>
        <w:pStyle w:val="Normal"/>
        <w:jc w:val="both"/>
        <w:rPr/>
      </w:pPr>
      <w:r>
        <w:rPr>
          <w:lang w:val="it-IT"/>
        </w:rPr>
        <w:t xml:space="preserve">We present in this work a finite-volume central-weighted essentially non-oscillatory (CWENO) reconstruction scheme on an unstructured grid, to solve the ﬁve-equation interface-capturing models for interfacial compressible multicomponent/multiphase flows problems of underwater explosions near structures or a free surface. A robust non-oscillatory numerical framework is needed due to the presence of strong gradients of the flow variables  found in underwater explosion.  The hull/bulk cavitation in an underwater explosion unlike attached </w:t>
      </w:r>
      <w:r>
        <w:rPr>
          <w:lang w:val="it-IT"/>
        </w:rPr>
        <w:t>or incipient</w:t>
      </w:r>
      <w:r>
        <w:rPr>
          <w:lang w:val="it-IT"/>
        </w:rPr>
        <w:t xml:space="preserve"> cavitation is very fast, unsteady and evolves into various dimensions before collapsing violently due to the surge in pressure. Although shock loading is often regarded as the primary source of structural loading, studies have shown that hull/bulk cavitation collapse reloading also has a comparable damaging effect on the structure as that of the shock loading. Using the five equation diffuse interface models of Allaire’s et al. </w:t>
      </w:r>
      <w:r>
        <w:rPr>
          <w:b/>
          <w:bCs/>
          <w:color w:val="auto"/>
          <w:sz w:val="24"/>
          <w:szCs w:val="24"/>
          <w:lang w:val="it-IT"/>
        </w:rPr>
        <w:t>[</w:t>
      </w:r>
      <w:r>
        <w:rPr>
          <w:b/>
          <w:bCs/>
          <w:color w:val="auto"/>
          <w:sz w:val="24"/>
          <w:szCs w:val="24"/>
          <w:lang w:val="it-IT"/>
        </w:rPr>
        <w:t>1</w:t>
      </w:r>
      <w:r>
        <w:rPr>
          <w:b/>
          <w:bCs/>
          <w:color w:val="auto"/>
          <w:sz w:val="24"/>
          <w:szCs w:val="24"/>
          <w:lang w:val="it-IT"/>
        </w:rPr>
        <w:t>]</w:t>
      </w:r>
      <w:r>
        <w:rPr>
          <w:b/>
          <w:bCs/>
          <w:color w:val="FF0000"/>
          <w:sz w:val="24"/>
          <w:szCs w:val="24"/>
          <w:lang w:val="it-IT"/>
        </w:rPr>
        <w:t xml:space="preserve"> </w:t>
      </w:r>
      <w:r>
        <w:rPr>
          <w:lang w:val="it-IT"/>
        </w:rPr>
        <w:t xml:space="preserve">and that of Kapila’s et al. </w:t>
      </w:r>
      <w:r>
        <w:rPr>
          <w:b/>
          <w:bCs/>
          <w:color w:val="auto"/>
          <w:sz w:val="24"/>
          <w:szCs w:val="24"/>
          <w:lang w:val="it-IT"/>
        </w:rPr>
        <w:t>[</w:t>
      </w:r>
      <w:r>
        <w:rPr>
          <w:b/>
          <w:bCs/>
          <w:color w:val="auto"/>
          <w:sz w:val="24"/>
          <w:szCs w:val="24"/>
          <w:lang w:val="it-IT"/>
        </w:rPr>
        <w:t>2</w:t>
      </w:r>
      <w:r>
        <w:rPr>
          <w:b/>
          <w:bCs/>
          <w:color w:val="auto"/>
          <w:sz w:val="24"/>
          <w:szCs w:val="24"/>
          <w:lang w:val="it-IT"/>
        </w:rPr>
        <w:t>]</w:t>
      </w:r>
      <w:r>
        <w:rPr>
          <w:color w:val="auto"/>
          <w:lang w:val="it-IT"/>
        </w:rPr>
        <w:t xml:space="preserve"> </w:t>
      </w:r>
      <w:r>
        <w:rPr>
          <w:lang w:val="it-IT"/>
        </w:rPr>
        <w:t xml:space="preserve">five-equation in the high-order finite-volume method based on the CWENO scheme implemented in the open source UCSN3D CFD code </w:t>
      </w:r>
      <w:r>
        <w:rPr>
          <w:b/>
          <w:bCs/>
          <w:lang w:val="it-IT"/>
        </w:rPr>
        <w:t>[</w:t>
      </w:r>
      <w:r>
        <w:rPr>
          <w:b/>
          <w:bCs/>
          <w:lang w:val="it-IT"/>
        </w:rPr>
        <w:t>3</w:t>
      </w:r>
      <w:r>
        <w:rPr>
          <w:b/>
          <w:bCs/>
          <w:lang w:val="it-IT"/>
        </w:rPr>
        <w:t>]</w:t>
      </w:r>
      <w:r>
        <w:rPr>
          <w:lang w:val="it-IT"/>
        </w:rPr>
        <w:t>, we will investigate the effect of cavitation as a source of secondary reloading to nearby objects during underwater explosions and quantitatively compared our results of the pressure impact with existing numerical and experimental results for validation. To also demonstrate the capabilities and advantages of the CWENO in capturing and resolving the material interface between the two-phase medium of the underwater explosion, several numerical results from our study would be compared with existing high order methods where “anti-diffusion” or “artificial compression</w:t>
      </w:r>
      <w:r>
        <w:rPr>
          <w:lang w:val="it-IT"/>
        </w:rPr>
        <w:t>”</w:t>
      </w:r>
      <w:r>
        <w:rPr>
          <w:lang w:val="it-IT"/>
        </w:rPr>
        <w:t xml:space="preserve"> or interface sharpening are being introduced into the models to reduce numerical smearing at the interface. Schlieren visualizations will be used to quantitatively show how the CWENO captures the material interface of the two-phase medium in the underwater explosion and it’s perfomance against existing numerical results available in the literature. An effort will also be made to make a perfomance comparison between five-equations interface-capturing models of Kapila’s et al. </w:t>
      </w:r>
      <w:r>
        <w:rPr>
          <w:b/>
          <w:bCs/>
          <w:color w:val="auto"/>
          <w:sz w:val="24"/>
          <w:szCs w:val="24"/>
          <w:lang w:val="it-IT"/>
        </w:rPr>
        <w:t>[</w:t>
      </w:r>
      <w:r>
        <w:rPr>
          <w:b/>
          <w:bCs/>
          <w:color w:val="auto"/>
          <w:sz w:val="24"/>
          <w:szCs w:val="24"/>
          <w:lang w:val="it-IT"/>
        </w:rPr>
        <w:t>1</w:t>
      </w:r>
      <w:r>
        <w:rPr>
          <w:b/>
          <w:bCs/>
          <w:color w:val="auto"/>
          <w:sz w:val="24"/>
          <w:szCs w:val="24"/>
          <w:lang w:val="it-IT"/>
        </w:rPr>
        <w:t>]</w:t>
      </w:r>
      <w:r>
        <w:rPr>
          <w:b/>
          <w:bCs/>
          <w:color w:val="auto"/>
          <w:lang w:val="it-IT"/>
        </w:rPr>
        <w:t xml:space="preserve"> </w:t>
      </w:r>
      <w:r>
        <w:rPr>
          <w:color w:val="FF0000"/>
          <w:lang w:val="it-IT"/>
        </w:rPr>
        <w:t xml:space="preserve"> </w:t>
      </w:r>
      <w:r>
        <w:rPr>
          <w:lang w:val="it-IT"/>
        </w:rPr>
        <w:t xml:space="preserve">and that of Allaire’s et al </w:t>
      </w:r>
      <w:r>
        <w:rPr>
          <w:b/>
          <w:bCs/>
          <w:color w:val="auto"/>
          <w:sz w:val="24"/>
          <w:szCs w:val="24"/>
          <w:lang w:val="it-IT"/>
        </w:rPr>
        <w:t>[</w:t>
      </w:r>
      <w:r>
        <w:rPr>
          <w:b/>
          <w:bCs/>
          <w:color w:val="auto"/>
          <w:sz w:val="24"/>
          <w:szCs w:val="24"/>
          <w:lang w:val="it-IT"/>
        </w:rPr>
        <w:t>2</w:t>
      </w:r>
      <w:r>
        <w:rPr>
          <w:b/>
          <w:bCs/>
          <w:color w:val="auto"/>
          <w:sz w:val="24"/>
          <w:szCs w:val="24"/>
          <w:lang w:val="it-IT"/>
        </w:rPr>
        <w:t>]</w:t>
      </w:r>
      <w:r>
        <w:rPr>
          <w:b/>
          <w:bCs/>
          <w:color w:val="auto"/>
          <w:lang w:val="it-IT"/>
        </w:rPr>
        <w:t xml:space="preserve"> </w:t>
      </w:r>
      <w:r>
        <w:rPr>
          <w:lang w:val="it-IT"/>
        </w:rPr>
        <w:t>on several test cases.</w:t>
      </w:r>
    </w:p>
    <w:p>
      <w:pPr>
        <w:pStyle w:val="TextBody"/>
        <w:spacing w:lineRule="atLeast" w:line="240" w:before="240" w:after="120"/>
        <w:rPr/>
      </w:pPr>
      <w:r>
        <w:rPr>
          <w:b/>
          <w:sz w:val="24"/>
          <w:lang w:val="es-ES"/>
        </w:rPr>
        <w:t>REFERENCES</w:t>
      </w:r>
    </w:p>
    <w:p>
      <w:pPr>
        <w:pStyle w:val="Normal"/>
        <w:numPr>
          <w:ilvl w:val="0"/>
          <w:numId w:val="0"/>
        </w:numPr>
        <w:spacing w:lineRule="atLeast" w:line="240"/>
        <w:ind w:left="442" w:hanging="0"/>
        <w:jc w:val="both"/>
        <w:rPr/>
      </w:pPr>
      <w:r>
        <w:rPr>
          <w:lang w:val="en-GB"/>
        </w:rPr>
        <w:t xml:space="preserve">[1] </w:t>
      </w:r>
      <w:r>
        <w:rPr>
          <w:lang w:val="en-GB"/>
        </w:rPr>
        <w:t>G. Allaire, S. Clerc, S. Kokh, A ﬁve-equation model for the simulation of interfaces between compressible ﬂuids, J. Comput. Phys. 181 (2002) 577–616.</w:t>
      </w:r>
    </w:p>
    <w:p>
      <w:pPr>
        <w:pStyle w:val="Normal"/>
        <w:numPr>
          <w:ilvl w:val="0"/>
          <w:numId w:val="0"/>
        </w:numPr>
        <w:spacing w:lineRule="atLeast" w:line="240"/>
        <w:ind w:left="442" w:hanging="0"/>
        <w:jc w:val="both"/>
        <w:rPr/>
      </w:pPr>
      <w:r>
        <w:rPr>
          <w:lang w:val="en-GB"/>
        </w:rPr>
        <w:t>[2] A. Kapila, R. Menikoff, J. Bdzil, S. Son, D. Stewart, Two-phase modeling of DDT in granular materials: reduced equations, Phys. Fluids 13 (2001) 3002–3024.</w:t>
      </w:r>
    </w:p>
    <w:p>
      <w:pPr>
        <w:pStyle w:val="TextBody"/>
        <w:numPr>
          <w:ilvl w:val="0"/>
          <w:numId w:val="0"/>
        </w:numPr>
        <w:spacing w:lineRule="atLeast" w:line="240"/>
        <w:ind w:left="426" w:hanging="0"/>
        <w:jc w:val="both"/>
        <w:rPr/>
      </w:pPr>
      <w:r>
        <w:rPr>
          <w:sz w:val="24"/>
          <w:lang w:val="en-GB"/>
        </w:rPr>
        <w:t xml:space="preserve">[3] </w:t>
      </w:r>
      <w:r>
        <w:rPr>
          <w:b w:val="false"/>
          <w:bCs w:val="false"/>
          <w:color w:val="auto"/>
          <w:sz w:val="24"/>
          <w:lang w:val="en-GB"/>
        </w:rPr>
        <w:t xml:space="preserve">Tsoutsanis, P., Adebayo, E.M., Merino, A.C. </w:t>
      </w:r>
      <w:r>
        <w:rPr>
          <w:b w:val="false"/>
          <w:bCs w:val="false"/>
          <w:i/>
          <w:color w:val="auto"/>
          <w:sz w:val="24"/>
          <w:lang w:val="en-GB"/>
        </w:rPr>
        <w:t>et al.</w:t>
      </w:r>
      <w:r>
        <w:rPr>
          <w:b w:val="false"/>
          <w:bCs w:val="false"/>
          <w:color w:val="auto"/>
          <w:sz w:val="24"/>
          <w:lang w:val="en-GB"/>
        </w:rPr>
        <w:t xml:space="preserve"> CWENO Finite-Volume Interface Capturing Schemes for Multicomponent Flows Using Unstructured Meshes. </w:t>
      </w:r>
      <w:r>
        <w:rPr>
          <w:b w:val="false"/>
          <w:bCs w:val="false"/>
          <w:i/>
          <w:color w:val="auto"/>
          <w:sz w:val="24"/>
          <w:lang w:val="en-GB"/>
        </w:rPr>
        <w:t>J Sci Comput</w:t>
      </w:r>
      <w:r>
        <w:rPr>
          <w:b w:val="false"/>
          <w:bCs w:val="false"/>
          <w:color w:val="auto"/>
          <w:sz w:val="24"/>
          <w:lang w:val="en-GB"/>
        </w:rPr>
        <w:t xml:space="preserve"> 89, 64 (2021). https://doi.org/10.1007/s10915-021-01673-y.</w:t>
      </w:r>
    </w:p>
    <w:sectPr>
      <w:headerReference w:type="default" r:id="rId5"/>
      <w:headerReference w:type="first" r:id="rId6"/>
      <w:footerReference w:type="default" r:id="rId7"/>
      <w:type w:val="nextPage"/>
      <w:pgSz w:w="11906" w:h="16838"/>
      <w:pgMar w:left="1418" w:right="1418" w:header="709" w:top="1357" w:footer="1134" w:bottom="170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2WCCM"/>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sz w:val="16"/>
        <w:szCs w:val="16"/>
        <w:lang w:val="en-GB"/>
      </w:rPr>
    </w:pPr>
    <w:r>
      <w:rPr>
        <w:sz w:val="16"/>
        <w:szCs w:val="16"/>
        <w:lang w:val="en-GB"/>
      </w:rPr>
      <w:t>The 8th European Congress on Computational Methods in Applied Sciences and Engineering</w:t>
    </w:r>
  </w:p>
  <w:p>
    <w:pPr>
      <w:pStyle w:val="Normal"/>
      <w:jc w:val="right"/>
      <w:rPr>
        <w:sz w:val="16"/>
        <w:szCs w:val="16"/>
        <w:lang w:val="en-GB"/>
      </w:rPr>
    </w:pPr>
    <w:r>
      <w:rPr>
        <w:bCs/>
        <w:sz w:val="16"/>
        <w:szCs w:val="16"/>
        <w:lang w:val="en-GB"/>
      </w:rPr>
      <w:t>ECCOMAS Congress 2022</w:t>
    </w:r>
  </w:p>
  <w:p>
    <w:pPr>
      <w:pStyle w:val="Header"/>
      <w:jc w:val="right"/>
      <w:rPr>
        <w:bCs/>
        <w:sz w:val="16"/>
        <w:szCs w:val="16"/>
        <w:lang w:val="en-GB"/>
      </w:rPr>
    </w:pPr>
    <w:r>
      <w:rPr>
        <w:bCs/>
        <w:sz w:val="16"/>
        <w:szCs w:val="16"/>
        <w:lang w:val="en-GB"/>
      </w:rPr>
      <w:t>5 – 9 June 2022, Oslo, Norway</w:t>
    </w:r>
  </w:p>
  <w:p>
    <w:pPr>
      <w:pStyle w:val="Header"/>
      <w:jc w:val="right"/>
      <w:rPr>
        <w:bCs/>
        <w:sz w:val="18"/>
        <w:szCs w:val="18"/>
        <w:lang w:val="en-GB"/>
      </w:rPr>
    </w:pPr>
    <w:r>
      <w:rPr>
        <w:bCs/>
        <w:sz w:val="18"/>
        <w:szCs w:val="18"/>
        <w:lang w:val="en-GB"/>
      </w:rPr>
    </w:r>
  </w:p>
  <w:p>
    <w:pPr>
      <w:pStyle w:val="Header"/>
      <w:jc w:val="right"/>
      <w:rPr>
        <w:bCs/>
        <w:sz w:val="18"/>
        <w:szCs w:val="18"/>
        <w:lang w:val="en-GB"/>
      </w:rPr>
    </w:pPr>
    <w:r>
      <w:rPr>
        <w:bCs/>
        <w:sz w:val="18"/>
        <w:szCs w:val="18"/>
        <w:lang w:val="en-GB"/>
      </w:rPr>
    </w:r>
  </w:p>
  <w:p>
    <w:pPr>
      <w:pStyle w:val="Header"/>
      <w:rPr>
        <w:bCs/>
        <w:color w:val="FF0000"/>
        <w:sz w:val="18"/>
        <w:szCs w:val="18"/>
        <w:lang w:val="en-GB"/>
      </w:rPr>
    </w:pPr>
    <w:r>
      <w:rPr>
        <w:bCs/>
        <w:color w:val="FF0000"/>
        <w:sz w:val="18"/>
        <w:szCs w:val="18"/>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442"/>
        </w:tabs>
        <w:ind w:left="442" w:hanging="442"/>
      </w:pPr>
      <w:rPr>
        <w:sz w:val="22"/>
        <w:i w:val="false"/>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ES" w:eastAsia="es-ES" w:bidi="ar-SA"/>
    </w:rPr>
  </w:style>
  <w:style w:type="paragraph" w:styleId="Heading1">
    <w:name w:val="Heading 1"/>
    <w:basedOn w:val="Normal"/>
    <w:next w:val="Normal"/>
    <w:link w:val="Heading1Char"/>
    <w:qFormat/>
    <w:rsid w:val="00577d1c"/>
    <w:pPr>
      <w:keepNext w:val="true"/>
      <w:widowControl w:val="false"/>
      <w:spacing w:before="0" w:after="120"/>
      <w:jc w:val="center"/>
      <w:outlineLvl w:val="0"/>
    </w:pPr>
    <w:rPr>
      <w:b/>
      <w:spacing w:val="4"/>
      <w:sz w:val="22"/>
      <w:szCs w:val="20"/>
      <w:lang w:val="en-GB"/>
    </w:rPr>
  </w:style>
  <w:style w:type="character" w:styleId="DefaultParagraphFont" w:default="1">
    <w:name w:val="Default Paragraph Font"/>
    <w:uiPriority w:val="1"/>
    <w:semiHidden/>
    <w:unhideWhenUsed/>
    <w:qFormat/>
    <w:rPr/>
  </w:style>
  <w:style w:type="character" w:styleId="EndnoteCharacters" w:customStyle="1">
    <w:name w:val="Endnote Characters"/>
    <w:basedOn w:val="DefaultParagraphFont"/>
    <w:semiHidden/>
    <w:qFormat/>
    <w:rPr>
      <w:vertAlign w:val="superscript"/>
    </w:rPr>
  </w:style>
  <w:style w:type="character" w:styleId="EndnoteAnchor" w:customStyle="1">
    <w:name w:val="Endnote Anchor"/>
    <w:rPr>
      <w:vertAlign w:val="superscrip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Pagenumber">
    <w:name w:val="page number"/>
    <w:basedOn w:val="DefaultParagraphFont"/>
    <w:qFormat/>
    <w:rPr/>
  </w:style>
  <w:style w:type="character" w:styleId="BodyTextChar" w:customStyle="1">
    <w:name w:val="Body Text Char"/>
    <w:basedOn w:val="DefaultParagraphFont"/>
    <w:link w:val="BodyText"/>
    <w:qFormat/>
    <w:rsid w:val="00d1526d"/>
    <w:rPr>
      <w:sz w:val="22"/>
      <w:lang w:val="es-ES_tradnl"/>
    </w:rPr>
  </w:style>
  <w:style w:type="character" w:styleId="Heading1Char" w:customStyle="1">
    <w:name w:val="Heading 1 Char"/>
    <w:basedOn w:val="DefaultParagraphFont"/>
    <w:link w:val="Heading1"/>
    <w:qFormat/>
    <w:rsid w:val="00577d1c"/>
    <w:rPr>
      <w:b/>
      <w:spacing w:val="4"/>
      <w:sz w:val="22"/>
      <w:lang w:val="en-GB"/>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pPr>
      <w:widowControl w:val="false"/>
      <w:jc w:val="both"/>
    </w:pPr>
    <w:rPr>
      <w:sz w:val="22"/>
      <w:szCs w:val="20"/>
      <w:lang w:val="es-ES_tradnl"/>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RefTitleWCCM" w:customStyle="1">
    <w:name w:val="Ref Title WCCM"/>
    <w:basedOn w:val="1stTitleWCCM"/>
    <w:qFormat/>
    <w:pPr>
      <w:tabs>
        <w:tab w:val="clear" w:pos="360"/>
      </w:tabs>
    </w:pPr>
    <w:rPr/>
  </w:style>
  <w:style w:type="paragraph" w:styleId="1stTitleWCCM" w:customStyle="1">
    <w:name w:val="1st Title WCCM"/>
    <w:basedOn w:val="NormalWCCM"/>
    <w:qFormat/>
    <w:pPr>
      <w:keepNext w:val="true"/>
      <w:keepLines/>
      <w:tabs>
        <w:tab w:val="clear" w:pos="708"/>
        <w:tab w:val="left" w:pos="360" w:leader="none"/>
      </w:tabs>
      <w:spacing w:before="240" w:after="120"/>
      <w:ind w:hanging="0"/>
      <w:jc w:val="left"/>
    </w:pPr>
    <w:rPr>
      <w:b/>
      <w:bCs/>
      <w:caps/>
    </w:rPr>
  </w:style>
  <w:style w:type="paragraph" w:styleId="NormalWCCM" w:customStyle="1">
    <w:name w:val="Normal WCCM"/>
    <w:qFormat/>
    <w:pPr>
      <w:widowControl w:val="false"/>
      <w:suppressAutoHyphens w:val="true"/>
      <w:bidi w:val="0"/>
      <w:spacing w:before="0" w:after="0"/>
      <w:ind w:firstLine="284"/>
      <w:jc w:val="both"/>
    </w:pPr>
    <w:rPr>
      <w:rFonts w:ascii="Times New Roman" w:hAnsi="Times New Roman" w:eastAsia="Times New Roman" w:cs="Times New Roman"/>
      <w:color w:val="auto"/>
      <w:kern w:val="0"/>
      <w:sz w:val="24"/>
      <w:szCs w:val="24"/>
      <w:lang w:val="en-US" w:eastAsia="es-ES" w:bidi="ar-SA"/>
    </w:rPr>
  </w:style>
  <w:style w:type="paragraph" w:styleId="2ndTitleWCCM" w:customStyle="1">
    <w:name w:val="2nd Title WCCM"/>
    <w:basedOn w:val="NormalWCCM"/>
    <w:qFormat/>
    <w:pPr>
      <w:keepNext w:val="true"/>
      <w:keepLines/>
      <w:tabs>
        <w:tab w:val="clear" w:pos="708"/>
        <w:tab w:val="left" w:pos="426" w:leader="none"/>
        <w:tab w:val="left" w:pos="720" w:leader="none"/>
      </w:tabs>
      <w:spacing w:before="240" w:after="120"/>
      <w:ind w:hanging="0"/>
      <w:jc w:val="left"/>
    </w:pPr>
    <w:rPr>
      <w:b/>
      <w:bCs/>
    </w:rPr>
  </w:style>
  <w:style w:type="paragraph" w:styleId="PaperTitleWCCM" w:customStyle="1">
    <w:name w:val="Paper Title WCCM"/>
    <w:basedOn w:val="NormalWCCM"/>
    <w:qFormat/>
    <w:pPr>
      <w:spacing w:before="0" w:after="240"/>
      <w:ind w:hanging="0"/>
    </w:pPr>
    <w:rPr>
      <w:b/>
      <w:bCs/>
      <w:caps/>
      <w:sz w:val="28"/>
      <w:szCs w:val="28"/>
    </w:rPr>
  </w:style>
  <w:style w:type="paragraph" w:styleId="LiteWCCM" w:customStyle="1">
    <w:name w:val="Lite WCCM"/>
    <w:basedOn w:val="NormalWCCM"/>
    <w:qFormat/>
    <w:pPr>
      <w:tabs>
        <w:tab w:val="clear" w:pos="708"/>
        <w:tab w:val="left" w:pos="142" w:leader="none"/>
      </w:tabs>
      <w:ind w:hanging="0"/>
      <w:jc w:val="center"/>
    </w:pPr>
    <w:rPr>
      <w:sz w:val="22"/>
      <w:szCs w:val="22"/>
    </w:rPr>
  </w:style>
  <w:style w:type="paragraph" w:styleId="AbstractWCCM" w:customStyle="1">
    <w:name w:val="Abstract WCCM"/>
    <w:basedOn w:val="NormalWCCM"/>
    <w:qFormat/>
    <w:pPr>
      <w:ind w:left="708" w:hanging="0"/>
    </w:pPr>
    <w:rPr/>
  </w:style>
  <w:style w:type="paragraph" w:styleId="Header1WCCM" w:customStyle="1">
    <w:name w:val="Header 1 WCCM"/>
    <w:qFormat/>
    <w:pPr>
      <w:widowControl w:val="false"/>
      <w:suppressAutoHyphens w:val="true"/>
      <w:bidi w:val="0"/>
      <w:spacing w:before="0" w:after="0"/>
      <w:jc w:val="right"/>
    </w:pPr>
    <w:rPr>
      <w:rFonts w:ascii="Times New Roman" w:hAnsi="Times New Roman" w:eastAsia="Times New Roman" w:cs="Times New Roman"/>
      <w:color w:val="auto"/>
      <w:kern w:val="0"/>
      <w:sz w:val="16"/>
      <w:szCs w:val="16"/>
      <w:lang w:val="en-US" w:eastAsia="es-ES" w:bidi="ar-SA"/>
    </w:rPr>
  </w:style>
  <w:style w:type="paragraph" w:styleId="Header2WCCM" w:customStyle="1">
    <w:name w:val="Header 2 WCCM"/>
    <w:basedOn w:val="Header1WCCM"/>
    <w:qFormat/>
    <w:pPr>
      <w:pBdr>
        <w:bottom w:val="single" w:sz="6" w:space="1" w:color="000000"/>
      </w:pBdr>
      <w:ind w:right="-1" w:hanging="0"/>
      <w:jc w:val="center"/>
    </w:pPr>
    <w:rPr>
      <w:sz w:val="20"/>
      <w:szCs w:val="20"/>
    </w:rPr>
  </w:style>
  <w:style w:type="paragraph" w:styleId="PgNumberWCCM" w:customStyle="1">
    <w:name w:val="Pg Number WCCM"/>
    <w:basedOn w:val="NormalWCCM"/>
    <w:qFormat/>
    <w:pPr>
      <w:jc w:val="center"/>
    </w:pPr>
    <w:rPr/>
  </w:style>
  <w:style w:type="paragraph" w:styleId="ReferenceWCCM" w:customStyle="1">
    <w:name w:val="Reference WCCM"/>
    <w:basedOn w:val="NormalWCCM"/>
    <w:qFormat/>
    <w:pPr>
      <w:tabs>
        <w:tab w:val="clear" w:pos="708"/>
        <w:tab w:val="left" w:pos="426" w:leader="none"/>
      </w:tabs>
      <w:ind w:left="426" w:hanging="426"/>
      <w:jc w:val="left"/>
    </w:pPr>
    <w:rPr/>
  </w:style>
  <w:style w:type="paragraph" w:styleId="FigureWCCM" w:customStyle="1">
    <w:name w:val="Figure WCCM"/>
    <w:qFormat/>
    <w:pPr>
      <w:widowControl w:val="false"/>
      <w:suppressAutoHyphens w:val="true"/>
      <w:bidi w:val="0"/>
      <w:spacing w:before="0" w:after="240"/>
      <w:jc w:val="center"/>
    </w:pPr>
    <w:rPr>
      <w:rFonts w:ascii="Times New Roman" w:hAnsi="Times New Roman" w:eastAsia="Times New Roman" w:cs="Times New Roman"/>
      <w:color w:val="auto"/>
      <w:kern w:val="0"/>
      <w:sz w:val="24"/>
      <w:szCs w:val="20"/>
      <w:lang w:val="en-US" w:eastAsia="es-ES" w:bidi="ar-SA"/>
    </w:rPr>
  </w:style>
  <w:style w:type="paragraph" w:styleId="FiliacinCOMNI" w:customStyle="1">
    <w:name w:val="Filiación.COMNI"/>
    <w:basedOn w:val="Normal"/>
    <w:qFormat/>
    <w:pPr>
      <w:widowControl w:val="false"/>
      <w:tabs>
        <w:tab w:val="clear" w:pos="708"/>
        <w:tab w:val="left" w:pos="142" w:leader="none"/>
      </w:tabs>
      <w:jc w:val="center"/>
    </w:pPr>
    <w:rPr>
      <w:strike/>
      <w:sz w:val="22"/>
      <w:szCs w:val="22"/>
      <w:lang w:val="es-ES_tradnl"/>
    </w:rPr>
  </w:style>
  <w:style w:type="paragraph" w:styleId="PieFigoTablaCOMNI" w:customStyle="1">
    <w:name w:val="Pie Fig. o Tabla. COMNI"/>
    <w:basedOn w:val="Normal"/>
    <w:qFormat/>
    <w:pPr>
      <w:widowControl w:val="false"/>
      <w:spacing w:before="120" w:after="240"/>
      <w:ind w:firstLine="284"/>
      <w:jc w:val="center"/>
    </w:pPr>
    <w:rPr>
      <w:strike/>
      <w:sz w:val="20"/>
      <w:lang w:val="es-ES_tradnl"/>
    </w:rPr>
  </w:style>
  <w:style w:type="paragraph" w:styleId="HeaderandFooter" w:customStyle="1">
    <w:name w:val="Header and Footer"/>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ReferenciaCOMNI" w:customStyle="1">
    <w:name w:val="Referencia. COMNI"/>
    <w:basedOn w:val="Normal"/>
    <w:qFormat/>
    <w:pPr>
      <w:widowControl w:val="false"/>
      <w:tabs>
        <w:tab w:val="clear" w:pos="708"/>
        <w:tab w:val="left" w:pos="426" w:leader="none"/>
      </w:tabs>
      <w:ind w:left="425" w:hanging="425"/>
      <w:jc w:val="both"/>
    </w:pPr>
    <w:rPr>
      <w:szCs w:val="20"/>
      <w:lang w:val="es-ES_tradnl"/>
    </w:rPr>
  </w:style>
  <w:style w:type="paragraph" w:styleId="BalloonText">
    <w:name w:val="Balloon Text"/>
    <w:basedOn w:val="Normal"/>
    <w:semiHidden/>
    <w:qFormat/>
    <w:rsid w:val="00555774"/>
    <w:pPr/>
    <w:rPr>
      <w:rFonts w:ascii="Tahoma" w:hAnsi="Tahoma" w:cs="Tahoma"/>
      <w:sz w:val="16"/>
      <w:szCs w:val="16"/>
    </w:rPr>
  </w:style>
  <w:style w:type="paragraph" w:styleId="TtuloRefCOMNI" w:customStyle="1">
    <w:name w:val="Título Ref. COMNI"/>
    <w:basedOn w:val="Normal"/>
    <w:qFormat/>
    <w:rsid w:val="00577d1c"/>
    <w:pPr>
      <w:keepNext w:val="true"/>
      <w:keepLines/>
      <w:widowControl w:val="false"/>
      <w:spacing w:before="240" w:after="120"/>
    </w:pPr>
    <w:rPr>
      <w:b/>
      <w:caps/>
      <w:szCs w:val="20"/>
      <w:lang w:val="es-ES_tradnl"/>
    </w:rPr>
  </w:style>
  <w:style w:type="paragraph" w:styleId="TtuloArtCOMNI" w:customStyle="1">
    <w:name w:val="Título Art. COMNI"/>
    <w:basedOn w:val="Normal"/>
    <w:qFormat/>
    <w:rsid w:val="00577d1c"/>
    <w:pPr>
      <w:widowControl w:val="false"/>
      <w:spacing w:before="0" w:after="240"/>
      <w:jc w:val="center"/>
    </w:pPr>
    <w:rPr>
      <w:b/>
      <w:sz w:val="28"/>
      <w:szCs w:val="20"/>
      <w:lang w:val="es-ES_tradnl"/>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adebayo@cranfield.ac.uk" TargetMode="External"/><Relationship Id="rId3" Type="http://schemas.openxmlformats.org/officeDocument/2006/relationships/hyperlink" Target="mailto:panagiotis.tsoutsanis@cranfield.ac.uk" TargetMode="External"/><Relationship Id="rId4" Type="http://schemas.openxmlformats.org/officeDocument/2006/relationships/hyperlink" Target="mailto:k.w.jenkins@cranfield.ac.u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LibreOffice/6.4.7.2$Linux_X86_64 LibreOffice_project/40$Build-2</Application>
  <Pages>1</Pages>
  <Words>469</Words>
  <Characters>2925</Characters>
  <CharactersWithSpaces>3385</CharactersWithSpaces>
  <Paragraphs>13</Paragraphs>
  <Company>CIMNE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2019-12-09T12:37:00Z</dcterms:created>
  <dc:creator>forace</dc:creator>
  <dc:description/>
  <dc:language>en-US</dc:language>
  <cp:lastModifiedBy/>
  <cp:lastPrinted>2013-02-28T13:08:00Z</cp:lastPrinted>
  <dcterms:modified xsi:type="dcterms:W3CDTF">2021-12-02T13:28:27Z</dcterms:modified>
  <cp:revision>14</cp:revision>
  <dc:subject/>
  <dc:title>INSTRUCTIONS TO PREPARE A PAPER FOR THE EUROPEAN CONGRESS ON COMPUTATIONAL METHODS IN APPLIED SCIENCES AND ENGINEERING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CIMNE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