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0B" w:rsidRDefault="00AA68CC">
      <w:pPr>
        <w:pStyle w:val="PaperTitleWCCM"/>
        <w:jc w:val="center"/>
        <w:rPr>
          <w:color w:val="000000"/>
        </w:rPr>
      </w:pPr>
      <w:bookmarkStart w:id="0" w:name="_GoBack"/>
      <w:bookmarkEnd w:id="0"/>
      <w:r>
        <w:t>Computational modelling of damage and fracture</w:t>
      </w:r>
    </w:p>
    <w:p w:rsidR="00575D0B" w:rsidRDefault="00AA68CC">
      <w:pPr>
        <w:pStyle w:val="PaperTitleWCCM"/>
        <w:jc w:val="center"/>
        <w:rPr>
          <w:sz w:val="24"/>
        </w:rPr>
      </w:pPr>
      <w:r>
        <w:rPr>
          <w:sz w:val="24"/>
        </w:rPr>
        <w:t>Leong Hien poh</w:t>
      </w:r>
      <w:r>
        <w:rPr>
          <w:position w:val="12"/>
          <w:sz w:val="24"/>
          <w:szCs w:val="16"/>
        </w:rPr>
        <w:t>1</w:t>
      </w:r>
      <w:r>
        <w:rPr>
          <w:sz w:val="24"/>
        </w:rPr>
        <w:t>, Ron Peerlings</w:t>
      </w:r>
      <w:r>
        <w:rPr>
          <w:position w:val="12"/>
          <w:sz w:val="24"/>
          <w:szCs w:val="16"/>
        </w:rPr>
        <w:t>2</w:t>
      </w:r>
      <w:r w:rsidR="00E433DE">
        <w:rPr>
          <w:sz w:val="24"/>
        </w:rPr>
        <w:t>,</w:t>
      </w:r>
      <w:r>
        <w:rPr>
          <w:sz w:val="24"/>
        </w:rPr>
        <w:t xml:space="preserve"> Milan Jirásek</w:t>
      </w:r>
      <w:r>
        <w:rPr>
          <w:position w:val="12"/>
          <w:sz w:val="24"/>
          <w:szCs w:val="16"/>
        </w:rPr>
        <w:t>3</w:t>
      </w:r>
      <w:r w:rsidR="00E433DE">
        <w:rPr>
          <w:sz w:val="24"/>
        </w:rPr>
        <w:br/>
        <w:t>and Anna Pandolfi</w:t>
      </w:r>
      <w:r w:rsidR="00E433DE">
        <w:rPr>
          <w:position w:val="12"/>
          <w:sz w:val="24"/>
          <w:szCs w:val="16"/>
        </w:rPr>
        <w:t>4</w:t>
      </w:r>
    </w:p>
    <w:p w:rsidR="00575D0B" w:rsidRDefault="00AA68CC">
      <w:pPr>
        <w:pStyle w:val="LiteWCCM"/>
      </w:pPr>
      <w:r>
        <w:rPr>
          <w:position w:val="11"/>
          <w:sz w:val="16"/>
          <w:szCs w:val="16"/>
        </w:rPr>
        <w:t>1</w:t>
      </w:r>
      <w:r>
        <w:tab/>
        <w:t>Department of Civil and Environmental Engineering, National University of Singapore</w:t>
      </w:r>
    </w:p>
    <w:p w:rsidR="00575D0B" w:rsidRDefault="00AA68CC">
      <w:pPr>
        <w:pStyle w:val="LiteWCCM"/>
      </w:pPr>
      <w:r>
        <w:t>1 Engineering Drive 2, E1A 07-03, Singapore 117576</w:t>
      </w:r>
    </w:p>
    <w:p w:rsidR="00575D0B" w:rsidRDefault="00526C34">
      <w:pPr>
        <w:pStyle w:val="LiteWCCM"/>
      </w:pPr>
      <w:hyperlink r:id="rId7">
        <w:r w:rsidR="00AA68CC">
          <w:rPr>
            <w:rStyle w:val="InternetLink"/>
          </w:rPr>
          <w:t>leonghien@nus.edu.sg</w:t>
        </w:r>
      </w:hyperlink>
    </w:p>
    <w:p w:rsidR="00575D0B" w:rsidRDefault="00575D0B">
      <w:pPr>
        <w:pStyle w:val="LiteWCCM"/>
        <w:rPr>
          <w:lang w:val="en-GB"/>
        </w:rPr>
      </w:pPr>
    </w:p>
    <w:p w:rsidR="00575D0B" w:rsidRDefault="00AA68CC">
      <w:pPr>
        <w:pStyle w:val="LiteWCCM"/>
      </w:pPr>
      <w:r>
        <w:rPr>
          <w:vertAlign w:val="superscript"/>
        </w:rPr>
        <w:t>2</w:t>
      </w:r>
      <w:r>
        <w:t xml:space="preserve"> Department of Mechanical Engineering, Eindhoven University of Technology</w:t>
      </w:r>
    </w:p>
    <w:p w:rsidR="00575D0B" w:rsidRPr="00CC33A7" w:rsidRDefault="00AA68CC">
      <w:pPr>
        <w:pStyle w:val="LiteWCCM"/>
        <w:rPr>
          <w:lang w:val="it-IT"/>
        </w:rPr>
      </w:pPr>
      <w:r w:rsidRPr="00CC33A7">
        <w:rPr>
          <w:lang w:val="it-IT"/>
        </w:rPr>
        <w:t>PO Box 513, 5600 MB Eindhoven, Netherlands</w:t>
      </w:r>
    </w:p>
    <w:p w:rsidR="00575D0B" w:rsidRPr="00CC33A7" w:rsidRDefault="00526C34">
      <w:pPr>
        <w:pStyle w:val="LiteWCCM"/>
        <w:rPr>
          <w:lang w:val="it-IT"/>
        </w:rPr>
      </w:pPr>
      <w:hyperlink r:id="rId8">
        <w:r w:rsidR="00AA68CC" w:rsidRPr="00CC33A7">
          <w:rPr>
            <w:rStyle w:val="InternetLink"/>
            <w:lang w:val="it-IT"/>
          </w:rPr>
          <w:t>R.H.J.Peerlings@tue.nl</w:t>
        </w:r>
      </w:hyperlink>
    </w:p>
    <w:p w:rsidR="00575D0B" w:rsidRPr="00CC33A7" w:rsidRDefault="00575D0B">
      <w:pPr>
        <w:pStyle w:val="LiteWCCM"/>
        <w:rPr>
          <w:lang w:val="it-IT"/>
        </w:rPr>
      </w:pPr>
    </w:p>
    <w:p w:rsidR="00575D0B" w:rsidRDefault="00AA68CC">
      <w:pPr>
        <w:pStyle w:val="LiteWCCM"/>
      </w:pPr>
      <w:r>
        <w:rPr>
          <w:position w:val="11"/>
          <w:sz w:val="16"/>
          <w:szCs w:val="16"/>
        </w:rPr>
        <w:t>3</w:t>
      </w:r>
      <w:r>
        <w:tab/>
        <w:t xml:space="preserve">Department of Mechanics, Faculty of Civil Engineering, Czech Technical University in Prague </w:t>
      </w:r>
    </w:p>
    <w:p w:rsidR="00575D0B" w:rsidRPr="00CC33A7" w:rsidRDefault="00AA68CC">
      <w:pPr>
        <w:pStyle w:val="LiteWCCM"/>
        <w:rPr>
          <w:lang w:val="it-IT"/>
        </w:rPr>
      </w:pPr>
      <w:r w:rsidRPr="00CC33A7">
        <w:rPr>
          <w:lang w:val="it-IT"/>
        </w:rPr>
        <w:t>Thákurova 7, 166 29 Prague 6, Czech Republic</w:t>
      </w:r>
    </w:p>
    <w:p w:rsidR="00575D0B" w:rsidRPr="00CC33A7" w:rsidRDefault="00526C34">
      <w:pPr>
        <w:pStyle w:val="LiteWCCM"/>
        <w:rPr>
          <w:lang w:val="it-IT"/>
        </w:rPr>
      </w:pPr>
      <w:hyperlink r:id="rId9" w:history="1">
        <w:r w:rsidR="00E433DE" w:rsidRPr="00CC33A7">
          <w:rPr>
            <w:rStyle w:val="Hyperlink"/>
            <w:lang w:val="it-IT"/>
          </w:rPr>
          <w:t>Milan.Jirasek@fsv.cvut.cz</w:t>
        </w:r>
      </w:hyperlink>
    </w:p>
    <w:p w:rsidR="00E433DE" w:rsidRPr="00CC33A7" w:rsidRDefault="00E433DE">
      <w:pPr>
        <w:pStyle w:val="LiteWCCM"/>
        <w:rPr>
          <w:lang w:val="it-IT"/>
        </w:rPr>
      </w:pPr>
    </w:p>
    <w:p w:rsidR="000D4F23" w:rsidRDefault="00E433DE" w:rsidP="000D4F23">
      <w:pPr>
        <w:pStyle w:val="LiteWCCM"/>
      </w:pPr>
      <w:r>
        <w:rPr>
          <w:position w:val="11"/>
          <w:sz w:val="16"/>
          <w:szCs w:val="16"/>
        </w:rPr>
        <w:t>4</w:t>
      </w:r>
      <w:r>
        <w:tab/>
      </w:r>
      <w:r w:rsidR="00CC33A7">
        <w:t>Department of Civil and Environmental Engineering, Politecnico di Milano</w:t>
      </w:r>
    </w:p>
    <w:p w:rsidR="00CC33A7" w:rsidRDefault="00CC33A7" w:rsidP="000D4F23">
      <w:pPr>
        <w:pStyle w:val="LiteWCCM"/>
      </w:pPr>
      <w:r>
        <w:t>Piazza Leonardo da Vinci 32, 20133 Milano</w:t>
      </w:r>
    </w:p>
    <w:p w:rsidR="00CC33A7" w:rsidRDefault="00526C34" w:rsidP="00E433DE">
      <w:pPr>
        <w:pStyle w:val="LiteWCCM"/>
      </w:pPr>
      <w:hyperlink r:id="rId10" w:history="1">
        <w:r w:rsidR="00CC33A7" w:rsidRPr="002255BB">
          <w:rPr>
            <w:rStyle w:val="Hyperlink"/>
          </w:rPr>
          <w:t>anna.pandolfi@polimi.it</w:t>
        </w:r>
      </w:hyperlink>
    </w:p>
    <w:p w:rsidR="00E433DE" w:rsidRDefault="00E433DE" w:rsidP="00CC33A7">
      <w:pPr>
        <w:pStyle w:val="LiteWCCM"/>
        <w:jc w:val="left"/>
      </w:pPr>
    </w:p>
    <w:p w:rsidR="00575D0B" w:rsidRDefault="00AA68CC">
      <w:pPr>
        <w:pStyle w:val="NormalWCCM"/>
        <w:spacing w:before="240"/>
        <w:ind w:firstLine="0"/>
        <w:rPr>
          <w:color w:val="000000"/>
        </w:rPr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Damage Mechanics, Fracture Mechanics, Computational Methods.</w:t>
      </w:r>
    </w:p>
    <w:p w:rsidR="00575D0B" w:rsidRDefault="00575D0B">
      <w:pPr>
        <w:pStyle w:val="NormalWCCM"/>
        <w:ind w:firstLine="0"/>
      </w:pPr>
    </w:p>
    <w:p w:rsidR="00575D0B" w:rsidRDefault="00AA68CC">
      <w:pPr>
        <w:pStyle w:val="1stTitleWCCM"/>
        <w:spacing w:before="0"/>
        <w:jc w:val="center"/>
        <w:outlineLvl w:val="0"/>
      </w:pPr>
      <w:r>
        <w:t>ABSTRACT</w:t>
      </w:r>
    </w:p>
    <w:p w:rsidR="00575D0B" w:rsidRDefault="00AA68CC">
      <w:pPr>
        <w:jc w:val="both"/>
      </w:pPr>
      <w:r>
        <w:rPr>
          <w:lang w:val="en-US"/>
        </w:rPr>
        <w:t>The surge in computing power over the last decade has motivated significant advances in the lifetime and reliability analyses of engineering materials</w:t>
      </w:r>
      <w:r w:rsidR="00CC33A7">
        <w:rPr>
          <w:lang w:val="en-US"/>
        </w:rPr>
        <w:t xml:space="preserve"> and structures</w:t>
      </w:r>
      <w:r>
        <w:rPr>
          <w:lang w:val="en-US"/>
        </w:rPr>
        <w:t>.</w:t>
      </w:r>
      <w:r w:rsidR="00CC33A7">
        <w:rPr>
          <w:lang w:val="en-US"/>
        </w:rPr>
        <w:t xml:space="preserve"> N</w:t>
      </w:r>
      <w:r>
        <w:rPr>
          <w:lang w:val="en-US"/>
        </w:rPr>
        <w:t xml:space="preserve">umerical simulations </w:t>
      </w:r>
      <w:r w:rsidR="00CC33A7">
        <w:rPr>
          <w:lang w:val="en-US"/>
        </w:rPr>
        <w:t xml:space="preserve">of </w:t>
      </w:r>
      <w:r w:rsidR="00FB4404">
        <w:rPr>
          <w:lang w:val="en-US"/>
        </w:rPr>
        <w:t xml:space="preserve">the </w:t>
      </w:r>
      <w:r w:rsidR="00CC33A7">
        <w:rPr>
          <w:lang w:val="en-US"/>
        </w:rPr>
        <w:t xml:space="preserve">static and dynamic response of systems to various actions </w:t>
      </w:r>
      <w:r>
        <w:rPr>
          <w:lang w:val="en-US"/>
        </w:rPr>
        <w:t xml:space="preserve">are adopted </w:t>
      </w:r>
      <w:r w:rsidR="00CC33A7">
        <w:rPr>
          <w:lang w:val="en-US"/>
        </w:rPr>
        <w:t xml:space="preserve">increasingly </w:t>
      </w:r>
      <w:r>
        <w:rPr>
          <w:lang w:val="en-US"/>
        </w:rPr>
        <w:t xml:space="preserve">by the industry for design purposes. </w:t>
      </w:r>
      <w:r w:rsidR="00CC33A7">
        <w:rPr>
          <w:lang w:val="en-US"/>
        </w:rPr>
        <w:t xml:space="preserve">In support </w:t>
      </w:r>
      <w:r w:rsidR="00FB4404">
        <w:rPr>
          <w:lang w:val="en-US"/>
        </w:rPr>
        <w:t xml:space="preserve">of </w:t>
      </w:r>
      <w:r>
        <w:rPr>
          <w:lang w:val="en-US"/>
        </w:rPr>
        <w:t xml:space="preserve">this </w:t>
      </w:r>
      <w:r w:rsidR="00CC33A7">
        <w:rPr>
          <w:lang w:val="en-US"/>
        </w:rPr>
        <w:t>demand</w:t>
      </w:r>
      <w:r>
        <w:rPr>
          <w:lang w:val="en-US"/>
        </w:rPr>
        <w:t xml:space="preserve">, a wealth of novel computational modelling techniques have been developed for predicting inelastic material behaviour, including damage localisation, crack initiation, crack propagation, and other material instabilities. </w:t>
      </w:r>
    </w:p>
    <w:p w:rsidR="00575D0B" w:rsidRDefault="00575D0B">
      <w:pPr>
        <w:jc w:val="both"/>
        <w:rPr>
          <w:lang w:val="en-US"/>
        </w:rPr>
      </w:pPr>
    </w:p>
    <w:p w:rsidR="00575D0B" w:rsidRDefault="00AA68CC">
      <w:pPr>
        <w:jc w:val="both"/>
      </w:pPr>
      <w:r>
        <w:rPr>
          <w:lang w:val="en-US"/>
        </w:rPr>
        <w:t xml:space="preserve">This mini-symposium aims to provide a platform for discussion of the newest </w:t>
      </w:r>
      <w:r w:rsidR="00CC33A7">
        <w:rPr>
          <w:lang w:val="en-US"/>
        </w:rPr>
        <w:t xml:space="preserve">theoretical and numerical </w:t>
      </w:r>
      <w:r>
        <w:rPr>
          <w:lang w:val="en-US"/>
        </w:rPr>
        <w:t>developments at all stages of inelastic material response and degradation, up to failure. Topics of interest include, but are not restricted to, the following areas:</w:t>
      </w:r>
    </w:p>
    <w:p w:rsidR="00575D0B" w:rsidRDefault="00AA68C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Metals, geo-materials, ceramics, polymers, composites, biological tissues, etc.</w:t>
      </w:r>
    </w:p>
    <w:p w:rsidR="00575D0B" w:rsidRDefault="00AA68C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Initiation or propagation of defects and cracks</w:t>
      </w:r>
    </w:p>
    <w:p w:rsidR="00575D0B" w:rsidRDefault="00AA68C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Mechanical, thermal, chemical loading, etc.</w:t>
      </w:r>
    </w:p>
    <w:p w:rsidR="00575D0B" w:rsidRDefault="00AA68C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Discrete models, micromechanical formulations, continuum damage descriptions</w:t>
      </w:r>
    </w:p>
    <w:p w:rsidR="00575D0B" w:rsidRDefault="00AA68CC">
      <w:pPr>
        <w:numPr>
          <w:ilvl w:val="0"/>
          <w:numId w:val="1"/>
        </w:numPr>
      </w:pPr>
      <w:r>
        <w:rPr>
          <w:lang w:val="en-US"/>
        </w:rPr>
        <w:t>Multiscale framework</w:t>
      </w:r>
      <w:r w:rsidR="006A6750">
        <w:rPr>
          <w:lang w:val="en-US"/>
        </w:rPr>
        <w:t>s</w:t>
      </w:r>
      <w:r>
        <w:rPr>
          <w:lang w:val="en-US"/>
        </w:rPr>
        <w:t xml:space="preserve"> bridging different length / time scales</w:t>
      </w:r>
    </w:p>
    <w:p w:rsidR="00575D0B" w:rsidRDefault="00AA68C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Objective formulations with non-local / gradient / phase-field enhancements</w:t>
      </w:r>
    </w:p>
    <w:p w:rsidR="00575D0B" w:rsidRDefault="00AA68CC">
      <w:pPr>
        <w:numPr>
          <w:ilvl w:val="0"/>
          <w:numId w:val="1"/>
        </w:numPr>
      </w:pPr>
      <w:r>
        <w:rPr>
          <w:lang w:val="en-US"/>
        </w:rPr>
        <w:t>Transition from continuous to discontinuous formulation</w:t>
      </w:r>
    </w:p>
    <w:p w:rsidR="00575D0B" w:rsidRDefault="00AA68CC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Relevant numerical methods</w:t>
      </w:r>
    </w:p>
    <w:p w:rsidR="00575D0B" w:rsidRDefault="00AA68CC">
      <w:pPr>
        <w:numPr>
          <w:ilvl w:val="0"/>
          <w:numId w:val="1"/>
        </w:numPr>
      </w:pPr>
      <w:r>
        <w:rPr>
          <w:lang w:val="en-US"/>
        </w:rPr>
        <w:t>Experimental characterization of damage and fracture</w:t>
      </w:r>
    </w:p>
    <w:sectPr w:rsidR="00575D0B">
      <w:headerReference w:type="default" r:id="rId11"/>
      <w:footerReference w:type="default" r:id="rId12"/>
      <w:headerReference w:type="first" r:id="rId13"/>
      <w:pgSz w:w="11906" w:h="16838"/>
      <w:pgMar w:top="2438" w:right="1418" w:bottom="1617" w:left="1418" w:header="1134" w:footer="1134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34" w:rsidRDefault="00526C34">
      <w:r>
        <w:separator/>
      </w:r>
    </w:p>
  </w:endnote>
  <w:endnote w:type="continuationSeparator" w:id="0">
    <w:p w:rsidR="00526C34" w:rsidRDefault="0052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0B" w:rsidRDefault="00AA68CC">
    <w:pPr>
      <w:pStyle w:val="Footer"/>
    </w:pPr>
    <w:r>
      <w:rPr>
        <w:noProof/>
        <w:lang w:val="en-SG" w:eastAsia="zh-CN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75D0B" w:rsidRDefault="00AA68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B44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:rsidR="00575D0B" w:rsidRDefault="00AA68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B44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34" w:rsidRDefault="00526C34">
      <w:r>
        <w:separator/>
      </w:r>
    </w:p>
  </w:footnote>
  <w:footnote w:type="continuationSeparator" w:id="0">
    <w:p w:rsidR="00526C34" w:rsidRDefault="0052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0B" w:rsidRDefault="00AA68CC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0B" w:rsidRDefault="00AA68CC">
    <w:pPr>
      <w:pStyle w:val="Header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6</w:t>
    </w:r>
    <w:r>
      <w:rPr>
        <w:b/>
        <w:sz w:val="18"/>
        <w:szCs w:val="18"/>
        <w:vertAlign w:val="superscript"/>
        <w:lang w:val="en-US"/>
      </w:rPr>
      <w:t>th</w:t>
    </w:r>
    <w:r>
      <w:rPr>
        <w:b/>
        <w:sz w:val="18"/>
        <w:szCs w:val="18"/>
        <w:lang w:val="en-US"/>
      </w:rPr>
      <w:t xml:space="preserve"> European Conference on Computational Mechanics (Solids, Structures and Coupled Problems) (ECCM 6)</w:t>
    </w:r>
  </w:p>
  <w:p w:rsidR="00575D0B" w:rsidRDefault="00AA68CC">
    <w:pPr>
      <w:pStyle w:val="Header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7</w:t>
    </w:r>
    <w:r>
      <w:rPr>
        <w:b/>
        <w:sz w:val="18"/>
        <w:szCs w:val="18"/>
        <w:vertAlign w:val="superscript"/>
        <w:lang w:val="en-US"/>
      </w:rPr>
      <w:t>th</w:t>
    </w:r>
    <w:r>
      <w:rPr>
        <w:b/>
        <w:sz w:val="18"/>
        <w:szCs w:val="18"/>
        <w:lang w:val="en-US"/>
      </w:rPr>
      <w:t xml:space="preserve"> European Conference on Computational Fluid Dynamics (ECFD 7)</w:t>
    </w:r>
  </w:p>
  <w:p w:rsidR="00575D0B" w:rsidRDefault="00AA68CC">
    <w:pPr>
      <w:pStyle w:val="Header"/>
      <w:jc w:val="right"/>
      <w:rPr>
        <w:b/>
        <w:bCs/>
        <w:i/>
        <w:color w:val="000000"/>
        <w:sz w:val="18"/>
        <w:szCs w:val="18"/>
        <w:lang w:val="en-GB"/>
      </w:rPr>
    </w:pPr>
    <w:r>
      <w:rPr>
        <w:b/>
        <w:bCs/>
        <w:i/>
        <w:color w:val="000000"/>
        <w:sz w:val="18"/>
        <w:szCs w:val="18"/>
        <w:lang w:val="en-GB"/>
      </w:rPr>
      <w:t>June 11- 15, 2018, Glasgow,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350D"/>
    <w:multiLevelType w:val="multilevel"/>
    <w:tmpl w:val="D92277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8875DD"/>
    <w:multiLevelType w:val="multilevel"/>
    <w:tmpl w:val="F160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B"/>
    <w:rsid w:val="000D4F23"/>
    <w:rsid w:val="00273E4E"/>
    <w:rsid w:val="00300CE1"/>
    <w:rsid w:val="00526C34"/>
    <w:rsid w:val="00575D0B"/>
    <w:rsid w:val="00673414"/>
    <w:rsid w:val="006A6750"/>
    <w:rsid w:val="006F41CC"/>
    <w:rsid w:val="007079C0"/>
    <w:rsid w:val="00A570D1"/>
    <w:rsid w:val="00AA68CC"/>
    <w:rsid w:val="00BD1E27"/>
    <w:rsid w:val="00CB20FA"/>
    <w:rsid w:val="00CC33A7"/>
    <w:rsid w:val="00D06C19"/>
    <w:rsid w:val="00E433DE"/>
    <w:rsid w:val="00FB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D3FFD-B0F7-4B80-A51F-3C69167B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 w:val="0"/>
      <w:i w:val="0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n-US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RefTitleWCCM">
    <w:name w:val="Ref Title WCCM"/>
    <w:qFormat/>
    <w:pPr>
      <w:widowControl w:val="0"/>
    </w:pPr>
    <w:rPr>
      <w:sz w:val="24"/>
    </w:rPr>
  </w:style>
  <w:style w:type="paragraph" w:customStyle="1" w:styleId="1stTitleWCCM">
    <w:name w:val="1st Title WCCM"/>
    <w:qFormat/>
    <w:pPr>
      <w:keepNext/>
      <w:keepLines/>
      <w:widowControl w:val="0"/>
      <w:tabs>
        <w:tab w:val="left" w:pos="360"/>
      </w:tabs>
      <w:spacing w:before="240" w:after="120"/>
    </w:pPr>
    <w:rPr>
      <w:b/>
      <w:bCs/>
      <w:caps/>
      <w:sz w:val="24"/>
    </w:rPr>
  </w:style>
  <w:style w:type="paragraph" w:customStyle="1" w:styleId="NormalWCCM">
    <w:name w:val="Normal WCCM"/>
    <w:qFormat/>
    <w:pPr>
      <w:widowControl w:val="0"/>
      <w:ind w:firstLine="284"/>
      <w:jc w:val="both"/>
    </w:pPr>
    <w:rPr>
      <w:sz w:val="24"/>
      <w:szCs w:val="24"/>
      <w:lang w:val="en-US"/>
    </w:rPr>
  </w:style>
  <w:style w:type="paragraph" w:customStyle="1" w:styleId="2ndTitleWCCM">
    <w:name w:val="2nd Title WCCM"/>
    <w:basedOn w:val="NormalWCCM"/>
    <w:qFormat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qFormat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qFormat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qFormat/>
    <w:pPr>
      <w:ind w:left="708" w:firstLine="0"/>
    </w:pPr>
  </w:style>
  <w:style w:type="paragraph" w:customStyle="1" w:styleId="Header1WCCM">
    <w:name w:val="Header 1 WCCM"/>
    <w:qFormat/>
    <w:pPr>
      <w:widowControl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qFormat/>
    <w:pPr>
      <w:pBdr>
        <w:bottom w:val="single" w:sz="6" w:space="1" w:color="00000A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qFormat/>
    <w:pPr>
      <w:jc w:val="center"/>
    </w:pPr>
  </w:style>
  <w:style w:type="paragraph" w:customStyle="1" w:styleId="ReferenceWCCM">
    <w:name w:val="Reference WCCM"/>
    <w:basedOn w:val="NormalWCCM"/>
    <w:qFormat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qFormat/>
    <w:pPr>
      <w:widowControl w:val="0"/>
      <w:spacing w:after="240"/>
      <w:jc w:val="center"/>
    </w:pPr>
    <w:rPr>
      <w:sz w:val="24"/>
      <w:lang w:val="en-US"/>
    </w:rPr>
  </w:style>
  <w:style w:type="paragraph" w:customStyle="1" w:styleId="FiliacinCOMNI">
    <w:name w:val="Filiación.COMNI"/>
    <w:basedOn w:val="Normal"/>
    <w:qFormat/>
    <w:pPr>
      <w:widowControl w:val="0"/>
      <w:tabs>
        <w:tab w:val="left" w:pos="142"/>
      </w:tabs>
      <w:jc w:val="center"/>
    </w:pPr>
    <w:rPr>
      <w:strike/>
      <w:sz w:val="22"/>
      <w:szCs w:val="22"/>
      <w:lang w:val="en-US"/>
    </w:rPr>
  </w:style>
  <w:style w:type="paragraph" w:customStyle="1" w:styleId="PieFigoTablaCOMNI">
    <w:name w:val="Pie Fig. o Tabla. COMNI"/>
    <w:basedOn w:val="Normal"/>
    <w:qFormat/>
    <w:pPr>
      <w:widowControl w:val="0"/>
      <w:spacing w:before="120" w:after="240"/>
      <w:ind w:firstLine="284"/>
      <w:jc w:val="center"/>
    </w:pPr>
    <w:rPr>
      <w:strike/>
      <w:sz w:val="20"/>
      <w:lang w:val="en-US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ReferenciaCOMNI">
    <w:name w:val="Referencia. COMNI"/>
    <w:basedOn w:val="Normal"/>
    <w:qFormat/>
    <w:pPr>
      <w:widowControl w:val="0"/>
      <w:tabs>
        <w:tab w:val="left" w:pos="426"/>
      </w:tabs>
      <w:ind w:left="425" w:hanging="425"/>
      <w:jc w:val="both"/>
    </w:pPr>
    <w:rPr>
      <w:szCs w:val="20"/>
      <w:lang w:val="en-US"/>
    </w:rPr>
  </w:style>
  <w:style w:type="paragraph" w:styleId="BalloonText">
    <w:name w:val="Balloon Text"/>
    <w:basedOn w:val="Normal"/>
    <w:semiHidden/>
    <w:qFormat/>
    <w:rsid w:val="0055577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E43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.J.Peerlings@tue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eonghien@nus.edu.s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na.pandolfi@pol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n.Jirasek@fsv.cvu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subject/>
  <dc:creator>forace</dc:creator>
  <dc:description/>
  <cp:lastModifiedBy>Poh Leong Hien</cp:lastModifiedBy>
  <cp:revision>2</cp:revision>
  <cp:lastPrinted>2012-05-23T07:35:00Z</cp:lastPrinted>
  <dcterms:created xsi:type="dcterms:W3CDTF">2016-09-16T02:08:00Z</dcterms:created>
  <dcterms:modified xsi:type="dcterms:W3CDTF">2016-09-16T02:08:00Z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CIMNE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